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2BBCF" w14:textId="77777777" w:rsidR="007964D7" w:rsidRDefault="007964D7" w:rsidP="007E771F">
      <w:pPr>
        <w:jc w:val="center"/>
        <w:rPr>
          <w:rFonts w:ascii="ＭＳ 明朝" w:eastAsia="ＭＳ 明朝" w:hAnsi="ＭＳ 明朝"/>
          <w:b/>
          <w:sz w:val="24"/>
          <w:szCs w:val="24"/>
        </w:rPr>
      </w:pPr>
      <w:r w:rsidRPr="007964D7">
        <w:rPr>
          <w:rFonts w:ascii="ＭＳ 明朝" w:eastAsia="ＭＳ 明朝" w:hAnsi="ＭＳ 明朝" w:hint="eastAsia"/>
          <w:b/>
          <w:sz w:val="24"/>
          <w:szCs w:val="24"/>
        </w:rPr>
        <w:t>学習教育プロセスと学修成果の可視化の推進について</w:t>
      </w:r>
    </w:p>
    <w:p w14:paraId="7528B2FB" w14:textId="6E903C35" w:rsidR="00102C18" w:rsidRDefault="007E771F" w:rsidP="007E771F">
      <w:pPr>
        <w:jc w:val="center"/>
        <w:rPr>
          <w:rFonts w:ascii="ＭＳ 明朝" w:eastAsia="ＭＳ 明朝" w:hAnsi="ＭＳ 明朝" w:cstheme="majorBidi"/>
          <w:sz w:val="22"/>
        </w:rPr>
      </w:pPr>
      <w:r w:rsidRPr="007E771F">
        <w:rPr>
          <w:rFonts w:ascii="ＭＳ 明朝" w:eastAsia="ＭＳ 明朝" w:hAnsi="ＭＳ 明朝" w:cstheme="majorBidi" w:hint="eastAsia"/>
          <w:sz w:val="22"/>
        </w:rPr>
        <w:t>副学長（教育担当）</w:t>
      </w:r>
      <w:r w:rsidR="00A479F2">
        <w:rPr>
          <w:rFonts w:ascii="ＭＳ 明朝" w:eastAsia="ＭＳ 明朝" w:hAnsi="ＭＳ 明朝" w:cstheme="majorBidi" w:hint="eastAsia"/>
          <w:sz w:val="22"/>
        </w:rPr>
        <w:t>・教務委員長</w:t>
      </w:r>
      <w:r w:rsidRPr="007E771F">
        <w:rPr>
          <w:rFonts w:ascii="ＭＳ 明朝" w:eastAsia="ＭＳ 明朝" w:hAnsi="ＭＳ 明朝" w:cstheme="majorBidi" w:hint="eastAsia"/>
          <w:sz w:val="22"/>
        </w:rPr>
        <w:t xml:space="preserve">　皆川　勝</w:t>
      </w:r>
    </w:p>
    <w:p w14:paraId="7528B2FC" w14:textId="77777777" w:rsidR="007E771F" w:rsidRDefault="007E771F" w:rsidP="007E771F">
      <w:pPr>
        <w:jc w:val="center"/>
        <w:rPr>
          <w:rFonts w:ascii="ＭＳ 明朝" w:eastAsia="ＭＳ 明朝" w:hAnsi="ＭＳ 明朝"/>
          <w:szCs w:val="18"/>
        </w:rPr>
      </w:pPr>
    </w:p>
    <w:p w14:paraId="7528B2FD" w14:textId="77777777" w:rsidR="007E771F" w:rsidRPr="007E771F" w:rsidRDefault="007E771F" w:rsidP="007E771F">
      <w:pPr>
        <w:ind w:firstLineChars="100" w:firstLine="229"/>
        <w:rPr>
          <w:rFonts w:asciiTheme="minorEastAsia" w:hAnsiTheme="minorEastAsia"/>
          <w:szCs w:val="18"/>
        </w:rPr>
      </w:pPr>
      <w:r w:rsidRPr="007E771F">
        <w:rPr>
          <w:rFonts w:asciiTheme="minorEastAsia" w:hAnsiTheme="minorEastAsia" w:hint="eastAsia"/>
          <w:szCs w:val="18"/>
        </w:rPr>
        <w:t>7月23日（月）開催の大学協議会で提案した「教育に関する施策提案」に対して各学部等から意見が提示された．それら意見を踏まえて教育開発機構にて再検討し，回答と再提案として11月19日（月）開催の大学協議会に提案した．提案は基本的方針として了承されたことから，あらためて内容を整理して「教育施策に関する基本方針2020」(11月27日付)として提示した．了承された内容の多くは，習う学習から修める学修への転換，そのための学修成果の可視化に関わる方針である．本稿では，基本方針の概要を改めて整理すると共に，学習教育システムの可視化と学修成果の可視化の推進に関する小職の考えを述べることとする．</w:t>
      </w:r>
    </w:p>
    <w:p w14:paraId="7528B2FE" w14:textId="77777777" w:rsidR="007E771F" w:rsidRPr="00241FB9" w:rsidRDefault="007E771F" w:rsidP="007E771F">
      <w:pPr>
        <w:rPr>
          <w:rFonts w:asciiTheme="minorEastAsia" w:hAnsiTheme="minorEastAsia"/>
          <w:szCs w:val="18"/>
        </w:rPr>
      </w:pPr>
      <w:r>
        <w:rPr>
          <w:rFonts w:asciiTheme="minorEastAsia" w:hAnsiTheme="minorEastAsia"/>
          <w:noProof/>
          <w:szCs w:val="18"/>
        </w:rPr>
        <mc:AlternateContent>
          <mc:Choice Requires="wps">
            <w:drawing>
              <wp:anchor distT="0" distB="0" distL="114300" distR="114300" simplePos="0" relativeHeight="251659264" behindDoc="0" locked="0" layoutInCell="1" allowOverlap="1" wp14:anchorId="7528B33B" wp14:editId="7528B33C">
                <wp:simplePos x="0" y="0"/>
                <wp:positionH relativeFrom="column">
                  <wp:posOffset>-87630</wp:posOffset>
                </wp:positionH>
                <wp:positionV relativeFrom="paragraph">
                  <wp:posOffset>218440</wp:posOffset>
                </wp:positionV>
                <wp:extent cx="6286500" cy="6400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86500" cy="64008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4F5907" id="正方形/長方形 5" o:spid="_x0000_s1026" style="position:absolute;left:0;text-align:left;margin-left:-6.9pt;margin-top:17.2pt;width:495pt;height:7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MXegIAACAFAAAOAAAAZHJzL2Uyb0RvYy54bWysVM1uEzEQviPxDpbvdDdREkrUTRW1KkKq&#10;2ooW9ex67WaF12PGTjbhPeABypkz4sDjUIm3YOzdbKpScUBcvDOeb373Gx8crmvDVgp9Bbbgg72c&#10;M2UllJW9Lfi7q5MX+5z5IGwpDFhV8I3y/HD2/NlB46ZqCAswpUJGQayfNq7gixDcNMu8XKha+D1w&#10;ypJRA9YikIq3WYmioei1yYZ5PskawNIhSOU93R63Rj5L8bVWMpxr7VVgpuBUW0gnpvMmntnsQExv&#10;UbhFJbsyxD9UUYvKUtI+1LEIgi2x+iNUXUkEDzrsSagz0LqSKvVA3QzyR91cLoRTqRcajnf9mPz/&#10;CyvPVhfIqrLgY86sqOkX3X/9cv/5+88fd9mvT99aiY3joBrnp4S/dBfYaZ7E2PVaYx2/1A9bp+Fu&#10;+uGqdWCSLifD/ck4p38gyTYZ5fk+KRQn27k79OG1gppFoeBIfy8NVaxOfWihW0jMZuGkMibex8ra&#10;WpIUNkZFgLFvlabmKPswBUq0UkcG2UoQIcr3g66ChIwumiL2ToOnnEzYOnXY6KYS1XrH/CnHXbYe&#10;nTKCDb1jXVnAvzvrFr/tuu01tn0D5Yb+JUJLcu/kSUVzPBU+XAgkVtPsaVPDOR3aQFNw6CTOFoAf&#10;n7qPeCIbWTlraEsK7j8sBSrOzBtLNHw1GI3iWiVlNH45JAUfWm4eWuyyPgKa+4DeBCeTGPHBbEWN&#10;UF/TQs9jVjIJKyl3wWXArXIU2u2lJ0Gq+TzBaJWcCKf20skYPE418uRqfS3QdWQKxMMz2G6UmD7i&#10;VIuNnhbmywC6SoTbzbWbN61homz3ZMQ9f6gn1O5hm/0GAAD//wMAUEsDBBQABgAIAAAAIQAZivkG&#10;4QAAAAsBAAAPAAAAZHJzL2Rvd25yZXYueG1sTI9BS8NAEIXvgv9hGcFbu9s0VI3ZFBUFUSi05uJt&#10;kh2TYHY2ZLdp+u9dT3oc3sd73+Tb2fZiotF3jjWslgoEce1Mx42G8uNlcQvCB2SDvWPScCYP2+Ly&#10;IsfMuBPvaTqERsQS9hlqaEMYMil93ZJFv3QDccy+3GgxxHNspBnxFMttLxOlNtJix3GhxYGeWqq/&#10;D0erId3x8+c5wVK+lbvpsXp93wdVaX19NT/cgwg0hz8YfvWjOhTRqXJHNl70GhardVQPGtZpCiIC&#10;dzebBEQVSZUmKcgil/9/KH4AAAD//wMAUEsBAi0AFAAGAAgAAAAhALaDOJL+AAAA4QEAABMAAAAA&#10;AAAAAAAAAAAAAAAAAFtDb250ZW50X1R5cGVzXS54bWxQSwECLQAUAAYACAAAACEAOP0h/9YAAACU&#10;AQAACwAAAAAAAAAAAAAAAAAvAQAAX3JlbHMvLnJlbHNQSwECLQAUAAYACAAAACEAngyDF3oCAAAg&#10;BQAADgAAAAAAAAAAAAAAAAAuAgAAZHJzL2Uyb0RvYy54bWxQSwECLQAUAAYACAAAACEAGYr5BuEA&#10;AAALAQAADwAAAAAAAAAAAAAAAADUBAAAZHJzL2Rvd25yZXYueG1sUEsFBgAAAAAEAAQA8wAAAOIF&#10;AAAAAA==&#10;" filled="f" strokecolor="black [3200]" strokeweight="1pt"/>
            </w:pict>
          </mc:Fallback>
        </mc:AlternateContent>
      </w:r>
    </w:p>
    <w:p w14:paraId="7528B2FF" w14:textId="77777777" w:rsidR="007E771F" w:rsidRPr="00EE45BF" w:rsidRDefault="007E771F" w:rsidP="007E771F">
      <w:pPr>
        <w:rPr>
          <w:rFonts w:asciiTheme="majorEastAsia" w:eastAsiaTheme="majorEastAsia" w:hAnsiTheme="majorEastAsia"/>
          <w:szCs w:val="18"/>
        </w:rPr>
      </w:pPr>
      <w:r w:rsidRPr="00EE45BF">
        <w:rPr>
          <w:rFonts w:asciiTheme="majorEastAsia" w:eastAsiaTheme="majorEastAsia" w:hAnsiTheme="majorEastAsia" w:hint="eastAsia"/>
          <w:szCs w:val="18"/>
        </w:rPr>
        <w:t xml:space="preserve"> 「教育施策に関する基本方針2020」(11月27日付)概要版</w:t>
      </w:r>
    </w:p>
    <w:p w14:paraId="7528B300" w14:textId="77777777" w:rsidR="007E771F" w:rsidRPr="00EE45BF" w:rsidRDefault="007E771F" w:rsidP="007E771F">
      <w:pPr>
        <w:rPr>
          <w:rFonts w:asciiTheme="majorEastAsia" w:eastAsiaTheme="majorEastAsia" w:hAnsiTheme="majorEastAsia"/>
          <w:szCs w:val="18"/>
        </w:rPr>
      </w:pPr>
      <w:r w:rsidRPr="00EE45BF">
        <w:rPr>
          <w:rFonts w:asciiTheme="majorEastAsia" w:eastAsiaTheme="majorEastAsia" w:hAnsiTheme="majorEastAsia" w:hint="eastAsia"/>
          <w:szCs w:val="18"/>
        </w:rPr>
        <w:t>(1)全体</w:t>
      </w:r>
    </w:p>
    <w:p w14:paraId="7528B301" w14:textId="77777777" w:rsidR="007E771F" w:rsidRPr="00EE45BF" w:rsidRDefault="007E771F" w:rsidP="007E771F">
      <w:pPr>
        <w:pStyle w:val="aa"/>
        <w:numPr>
          <w:ilvl w:val="0"/>
          <w:numId w:val="1"/>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クオーター制の推進</w:t>
      </w:r>
    </w:p>
    <w:p w14:paraId="7528B302" w14:textId="77777777" w:rsidR="007E771F" w:rsidRPr="00686697" w:rsidRDefault="007E771F" w:rsidP="007E771F">
      <w:pPr>
        <w:pStyle w:val="aa"/>
        <w:numPr>
          <w:ilvl w:val="0"/>
          <w:numId w:val="2"/>
        </w:numPr>
        <w:ind w:leftChars="0"/>
        <w:rPr>
          <w:rFonts w:asciiTheme="minorEastAsia" w:hAnsiTheme="minorEastAsia"/>
          <w:sz w:val="18"/>
          <w:szCs w:val="18"/>
        </w:rPr>
      </w:pPr>
      <w:r w:rsidRPr="00686697">
        <w:rPr>
          <w:rFonts w:asciiTheme="minorEastAsia" w:hAnsiTheme="minorEastAsia" w:hint="eastAsia"/>
          <w:sz w:val="18"/>
          <w:szCs w:val="18"/>
        </w:rPr>
        <w:t>原則としてすべての科目をクオーター開講とする．</w:t>
      </w:r>
    </w:p>
    <w:p w14:paraId="7528B303" w14:textId="77777777" w:rsidR="007E771F" w:rsidRPr="00686697" w:rsidRDefault="007E771F" w:rsidP="007E771F">
      <w:pPr>
        <w:pStyle w:val="aa"/>
        <w:numPr>
          <w:ilvl w:val="0"/>
          <w:numId w:val="2"/>
        </w:numPr>
        <w:ind w:leftChars="0"/>
        <w:rPr>
          <w:rFonts w:asciiTheme="minorEastAsia" w:hAnsiTheme="minorEastAsia"/>
          <w:sz w:val="18"/>
          <w:szCs w:val="18"/>
        </w:rPr>
      </w:pPr>
      <w:r w:rsidRPr="00686697">
        <w:rPr>
          <w:rFonts w:asciiTheme="minorEastAsia" w:hAnsiTheme="minorEastAsia" w:hint="eastAsia"/>
          <w:sz w:val="18"/>
          <w:szCs w:val="18"/>
        </w:rPr>
        <w:t>履修指導及び履修登録を学期開始前に行うこととする．</w:t>
      </w:r>
    </w:p>
    <w:p w14:paraId="7528B304" w14:textId="77777777" w:rsidR="007E771F" w:rsidRPr="00686697" w:rsidRDefault="007E771F" w:rsidP="007E771F">
      <w:pPr>
        <w:pStyle w:val="aa"/>
        <w:numPr>
          <w:ilvl w:val="0"/>
          <w:numId w:val="2"/>
        </w:numPr>
        <w:ind w:leftChars="0"/>
        <w:rPr>
          <w:rFonts w:asciiTheme="minorEastAsia" w:hAnsiTheme="minorEastAsia"/>
          <w:sz w:val="18"/>
          <w:szCs w:val="18"/>
        </w:rPr>
      </w:pPr>
      <w:r>
        <w:rPr>
          <w:rFonts w:asciiTheme="minorEastAsia" w:hAnsiTheme="minorEastAsia" w:hint="eastAsia"/>
          <w:sz w:val="18"/>
          <w:szCs w:val="18"/>
        </w:rPr>
        <w:t>全科目について紹介・ガイダンス内容を中心として</w:t>
      </w:r>
      <w:r w:rsidRPr="00686697">
        <w:rPr>
          <w:rFonts w:asciiTheme="minorEastAsia" w:hAnsiTheme="minorEastAsia" w:hint="eastAsia"/>
          <w:sz w:val="18"/>
          <w:szCs w:val="18"/>
        </w:rPr>
        <w:t>動画を収録し，配信・開示</w:t>
      </w:r>
    </w:p>
    <w:p w14:paraId="7528B305" w14:textId="77777777" w:rsidR="007E771F" w:rsidRPr="00686697" w:rsidRDefault="007E771F" w:rsidP="007E771F">
      <w:pPr>
        <w:pStyle w:val="aa"/>
        <w:numPr>
          <w:ilvl w:val="0"/>
          <w:numId w:val="2"/>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月曜と木曜，火曜と金曜など，追開講の曜日時間の統一を図る．</w:t>
      </w:r>
    </w:p>
    <w:p w14:paraId="7528B306" w14:textId="77777777" w:rsidR="007E771F" w:rsidRPr="00686697" w:rsidRDefault="007E771F" w:rsidP="007E771F">
      <w:pPr>
        <w:pStyle w:val="aa"/>
        <w:numPr>
          <w:ilvl w:val="0"/>
          <w:numId w:val="2"/>
        </w:numPr>
        <w:ind w:leftChars="0"/>
        <w:rPr>
          <w:rFonts w:asciiTheme="minorEastAsia" w:hAnsiTheme="minorEastAsia"/>
          <w:sz w:val="18"/>
          <w:szCs w:val="18"/>
        </w:rPr>
      </w:pPr>
      <w:r w:rsidRPr="00686697">
        <w:rPr>
          <w:rFonts w:asciiTheme="minorEastAsia" w:hAnsiTheme="minorEastAsia" w:hint="eastAsia"/>
          <w:sz w:val="18"/>
          <w:szCs w:val="18"/>
        </w:rPr>
        <w:t>水曜日午前は週1回開講の科目やセメスター科目を開講する．</w:t>
      </w:r>
    </w:p>
    <w:p w14:paraId="7528B307" w14:textId="77777777" w:rsidR="007E771F" w:rsidRPr="00686697" w:rsidRDefault="007E771F" w:rsidP="007E771F">
      <w:pPr>
        <w:pStyle w:val="aa"/>
        <w:numPr>
          <w:ilvl w:val="0"/>
          <w:numId w:val="2"/>
        </w:numPr>
        <w:ind w:leftChars="0"/>
        <w:rPr>
          <w:rFonts w:asciiTheme="minorEastAsia" w:hAnsiTheme="minorEastAsia"/>
          <w:sz w:val="18"/>
          <w:szCs w:val="18"/>
        </w:rPr>
      </w:pPr>
      <w:r w:rsidRPr="00686697">
        <w:rPr>
          <w:rFonts w:asciiTheme="minorEastAsia" w:hAnsiTheme="minorEastAsia"/>
          <w:sz w:val="18"/>
          <w:szCs w:val="18"/>
        </w:rPr>
        <w:t>5</w:t>
      </w:r>
      <w:r w:rsidRPr="00686697">
        <w:rPr>
          <w:rFonts w:asciiTheme="minorEastAsia" w:hAnsiTheme="minorEastAsia" w:hint="eastAsia"/>
          <w:sz w:val="18"/>
          <w:szCs w:val="18"/>
        </w:rPr>
        <w:t>及び</w:t>
      </w:r>
      <w:r w:rsidRPr="00686697">
        <w:rPr>
          <w:rFonts w:asciiTheme="minorEastAsia" w:hAnsiTheme="minorEastAsia"/>
          <w:sz w:val="18"/>
          <w:szCs w:val="18"/>
        </w:rPr>
        <w:t>6</w:t>
      </w:r>
      <w:r w:rsidRPr="00686697">
        <w:rPr>
          <w:rFonts w:asciiTheme="minorEastAsia" w:hAnsiTheme="minorEastAsia" w:hint="eastAsia"/>
          <w:sz w:val="18"/>
          <w:szCs w:val="18"/>
        </w:rPr>
        <w:t>時限については，学生の自由な意思により選択できる科目のみ</w:t>
      </w:r>
      <w:r>
        <w:rPr>
          <w:rFonts w:asciiTheme="minorEastAsia" w:hAnsiTheme="minorEastAsia" w:hint="eastAsia"/>
          <w:sz w:val="18"/>
          <w:szCs w:val="18"/>
        </w:rPr>
        <w:t>を</w:t>
      </w:r>
      <w:r w:rsidRPr="00686697">
        <w:rPr>
          <w:rFonts w:asciiTheme="minorEastAsia" w:hAnsiTheme="minorEastAsia" w:hint="eastAsia"/>
          <w:sz w:val="18"/>
          <w:szCs w:val="18"/>
        </w:rPr>
        <w:t>開講する．</w:t>
      </w:r>
    </w:p>
    <w:p w14:paraId="7528B308" w14:textId="77777777" w:rsidR="007E771F" w:rsidRPr="00686697" w:rsidRDefault="007E771F" w:rsidP="007E771F">
      <w:pPr>
        <w:pStyle w:val="aa"/>
        <w:numPr>
          <w:ilvl w:val="0"/>
          <w:numId w:val="2"/>
        </w:numPr>
        <w:ind w:leftChars="0"/>
        <w:rPr>
          <w:rFonts w:asciiTheme="minorEastAsia" w:hAnsiTheme="minorEastAsia"/>
          <w:sz w:val="18"/>
          <w:szCs w:val="18"/>
        </w:rPr>
      </w:pPr>
      <w:r w:rsidRPr="00686697">
        <w:rPr>
          <w:rFonts w:asciiTheme="minorEastAsia" w:hAnsiTheme="minorEastAsia" w:hint="eastAsia"/>
          <w:sz w:val="18"/>
          <w:szCs w:val="18"/>
        </w:rPr>
        <w:t>教室の余裕の範囲で並行授業を積極的に採用すると共に，科目のスリム化を推進する．</w:t>
      </w:r>
    </w:p>
    <w:p w14:paraId="7528B309" w14:textId="77777777" w:rsidR="007E771F" w:rsidRPr="00EE45BF" w:rsidRDefault="007E771F" w:rsidP="007E771F">
      <w:pPr>
        <w:pStyle w:val="aa"/>
        <w:numPr>
          <w:ilvl w:val="0"/>
          <w:numId w:val="1"/>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講義と演習の適切な配置</w:t>
      </w:r>
    </w:p>
    <w:p w14:paraId="7528B30A" w14:textId="77777777" w:rsidR="007E771F" w:rsidRPr="00686697" w:rsidRDefault="007E771F" w:rsidP="007E771F">
      <w:pPr>
        <w:pStyle w:val="aa"/>
        <w:numPr>
          <w:ilvl w:val="0"/>
          <w:numId w:val="3"/>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講義演習の3単位科目を推進し，積極的に導入を図る．</w:t>
      </w:r>
    </w:p>
    <w:p w14:paraId="7528B30B" w14:textId="77777777" w:rsidR="007E771F" w:rsidRPr="00686697" w:rsidRDefault="007E771F" w:rsidP="007E771F">
      <w:pPr>
        <w:pStyle w:val="aa"/>
        <w:numPr>
          <w:ilvl w:val="0"/>
          <w:numId w:val="3"/>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学修効果を最大化するための適切な授業パターンを採用する．</w:t>
      </w:r>
    </w:p>
    <w:p w14:paraId="7528B30C" w14:textId="77777777" w:rsidR="007E771F" w:rsidRPr="00EE45BF" w:rsidRDefault="007E771F" w:rsidP="007E771F">
      <w:pPr>
        <w:pStyle w:val="aa"/>
        <w:numPr>
          <w:ilvl w:val="0"/>
          <w:numId w:val="1"/>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科目のスリム化</w:t>
      </w:r>
    </w:p>
    <w:p w14:paraId="7528B30D" w14:textId="77777777" w:rsidR="007E771F" w:rsidRPr="00686697" w:rsidRDefault="007E771F" w:rsidP="007E771F">
      <w:pPr>
        <w:pStyle w:val="aa"/>
        <w:numPr>
          <w:ilvl w:val="0"/>
          <w:numId w:val="4"/>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専門基礎科目</w:t>
      </w:r>
      <w:r>
        <w:rPr>
          <w:rFonts w:asciiTheme="minorEastAsia" w:hAnsiTheme="minorEastAsia" w:hint="eastAsia"/>
          <w:sz w:val="18"/>
          <w:szCs w:val="18"/>
        </w:rPr>
        <w:t>の</w:t>
      </w:r>
      <w:r w:rsidRPr="00686697">
        <w:rPr>
          <w:rFonts w:asciiTheme="minorEastAsia" w:hAnsiTheme="minorEastAsia" w:hint="eastAsia"/>
          <w:sz w:val="18"/>
          <w:szCs w:val="18"/>
        </w:rPr>
        <w:t>卒業要件単位数は30単位以上とする．開講単位数は，選択の余裕を2倍以下にする．</w:t>
      </w:r>
    </w:p>
    <w:p w14:paraId="7528B30E" w14:textId="77777777" w:rsidR="007E771F" w:rsidRPr="00686697" w:rsidRDefault="007E771F" w:rsidP="007E771F">
      <w:pPr>
        <w:pStyle w:val="aa"/>
        <w:numPr>
          <w:ilvl w:val="0"/>
          <w:numId w:val="4"/>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専門科目</w:t>
      </w:r>
      <w:r>
        <w:rPr>
          <w:rFonts w:asciiTheme="minorEastAsia" w:hAnsiTheme="minorEastAsia" w:hint="eastAsia"/>
          <w:sz w:val="18"/>
          <w:szCs w:val="18"/>
        </w:rPr>
        <w:t>の</w:t>
      </w:r>
      <w:r w:rsidRPr="00686697">
        <w:rPr>
          <w:rFonts w:asciiTheme="minorEastAsia" w:hAnsiTheme="minorEastAsia" w:hint="eastAsia"/>
          <w:sz w:val="18"/>
          <w:szCs w:val="18"/>
        </w:rPr>
        <w:t>卒業要件単位数は60単位以下とする．開講単位数は，選択の余裕を概ね1.2倍～1.3倍以下にする．</w:t>
      </w:r>
    </w:p>
    <w:p w14:paraId="7528B30F" w14:textId="77777777" w:rsidR="007E771F" w:rsidRPr="00EE45BF" w:rsidRDefault="007E771F" w:rsidP="007E771F">
      <w:pPr>
        <w:pStyle w:val="aa"/>
        <w:numPr>
          <w:ilvl w:val="0"/>
          <w:numId w:val="1"/>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科目配当</w:t>
      </w:r>
    </w:p>
    <w:p w14:paraId="7528B310" w14:textId="77777777" w:rsidR="007E771F" w:rsidRPr="00686697" w:rsidRDefault="007E771F" w:rsidP="007E771F">
      <w:pPr>
        <w:pStyle w:val="aa"/>
        <w:numPr>
          <w:ilvl w:val="0"/>
          <w:numId w:val="5"/>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専門科目と共通的科目の比率を年次進行に従って逆転させる配当を基本とする．</w:t>
      </w:r>
    </w:p>
    <w:p w14:paraId="7528B311" w14:textId="77777777" w:rsidR="007E771F" w:rsidRPr="00686697" w:rsidRDefault="007E771F" w:rsidP="007E771F">
      <w:pPr>
        <w:pStyle w:val="aa"/>
        <w:numPr>
          <w:ilvl w:val="0"/>
          <w:numId w:val="5"/>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専門教員が関わる科目を1年次から適切に4年次まで配当する．</w:t>
      </w:r>
    </w:p>
    <w:p w14:paraId="7528B312" w14:textId="77777777" w:rsidR="007E771F" w:rsidRPr="00686697" w:rsidRDefault="007E771F" w:rsidP="007E771F">
      <w:pPr>
        <w:pStyle w:val="aa"/>
        <w:numPr>
          <w:ilvl w:val="0"/>
          <w:numId w:val="5"/>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，知識の積み上げを求めない科目や講義中心で授業中の演習を不要とする科目等については，積極的に4年次へ移行する．</w:t>
      </w:r>
    </w:p>
    <w:p w14:paraId="7528B313" w14:textId="77777777" w:rsidR="007E771F" w:rsidRPr="00EE45BF" w:rsidRDefault="007E771F" w:rsidP="007E771F">
      <w:pPr>
        <w:pStyle w:val="aa"/>
        <w:numPr>
          <w:ilvl w:val="0"/>
          <w:numId w:val="1"/>
        </w:numPr>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成績評価</w:t>
      </w:r>
    </w:p>
    <w:p w14:paraId="7528B314" w14:textId="77777777" w:rsidR="007E771F" w:rsidRPr="00686697" w:rsidRDefault="007E771F" w:rsidP="007E771F">
      <w:pPr>
        <w:pStyle w:val="aa"/>
        <w:numPr>
          <w:ilvl w:val="0"/>
          <w:numId w:val="6"/>
        </w:numPr>
        <w:ind w:leftChars="0"/>
        <w:rPr>
          <w:rFonts w:asciiTheme="minorEastAsia" w:hAnsiTheme="minorEastAsia"/>
          <w:sz w:val="18"/>
          <w:szCs w:val="18"/>
        </w:rPr>
      </w:pPr>
      <w:r w:rsidRPr="00686697">
        <w:rPr>
          <w:rFonts w:asciiTheme="minorEastAsia" w:hAnsiTheme="minorEastAsia" w:hint="eastAsia"/>
          <w:sz w:val="18"/>
          <w:szCs w:val="18"/>
        </w:rPr>
        <w:t>卒業要件，進級条件や卒業研究着手条件を満たすのに必須な科目について，追試験制度を導入する．</w:t>
      </w:r>
    </w:p>
    <w:p w14:paraId="7528B315" w14:textId="77777777" w:rsidR="007E771F" w:rsidRPr="00686697" w:rsidRDefault="007E771F" w:rsidP="007E771F">
      <w:pPr>
        <w:pStyle w:val="aa"/>
        <w:numPr>
          <w:ilvl w:val="0"/>
          <w:numId w:val="6"/>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 xml:space="preserve">卒業研究の成績を不可と判定をする可能性がある場合には，複数教員による審査を経ることとする． </w:t>
      </w:r>
    </w:p>
    <w:p w14:paraId="7528B316" w14:textId="77777777" w:rsidR="007E771F" w:rsidRPr="00EE45BF" w:rsidRDefault="007E771F" w:rsidP="007E771F">
      <w:pPr>
        <w:pStyle w:val="aa"/>
        <w:numPr>
          <w:ilvl w:val="0"/>
          <w:numId w:val="1"/>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CAP制</w:t>
      </w:r>
    </w:p>
    <w:p w14:paraId="7528B317" w14:textId="77777777" w:rsidR="007E771F" w:rsidRPr="00686697" w:rsidRDefault="007E771F" w:rsidP="007E771F">
      <w:pPr>
        <w:pStyle w:val="aa"/>
        <w:numPr>
          <w:ilvl w:val="0"/>
          <w:numId w:val="7"/>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セメスターごとの上限履修単位数を20単位とする．前学期のf-GPAにより上限履修単位数</w:t>
      </w:r>
      <w:r>
        <w:rPr>
          <w:noProof/>
        </w:rPr>
        <w:lastRenderedPageBreak/>
        <mc:AlternateContent>
          <mc:Choice Requires="wps">
            <w:drawing>
              <wp:anchor distT="0" distB="0" distL="114300" distR="114300" simplePos="0" relativeHeight="251660288" behindDoc="0" locked="0" layoutInCell="1" allowOverlap="1" wp14:anchorId="7528B33D" wp14:editId="7528B33E">
                <wp:simplePos x="0" y="0"/>
                <wp:positionH relativeFrom="margin">
                  <wp:align>center</wp:align>
                </wp:positionH>
                <wp:positionV relativeFrom="paragraph">
                  <wp:posOffset>-1270</wp:posOffset>
                </wp:positionV>
                <wp:extent cx="6286500" cy="8267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86500" cy="82677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460FF6" id="正方形/長方形 6" o:spid="_x0000_s1026" style="position:absolute;left:0;text-align:left;margin-left:0;margin-top:-.1pt;width:495pt;height:65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B4egIAACAFAAAOAAAAZHJzL2Uyb0RvYy54bWysVM1uEzEQviPxDpbvdJOoTUvUTRW1KkKq&#10;2ooW9ex67WaF7TFjJ5vwHvAAcOaMOPA4VOItGHs3m6pUHBAX74znm9/9xodHK2vYUmGowZV8uDPg&#10;TDkJVe3uSv72+vTFAWchClcJA06VfK0CP5o+f3bY+IkawRxMpZBREBcmjS/5PEY/KYog58qKsANe&#10;OTJqQCsiqXhXVCgaim5NMRoMxkUDWHkEqUKg25PWyKc5vtZKxgutg4rMlJxqi/nEfN6ms5geiskd&#10;Cj+vZVeG+IcqrKgdJe1DnYgo2ALrP0LZWiIE0HFHgi1A61qq3AN1Mxw86uZqLrzKvdBwgu/HFP5f&#10;WHm+vERWVyUfc+aEpV90//XL/afvP398Ln59/NZKbJwG1fgwIfyVv8ROCySmrlcabfpSP2yVh7vu&#10;h6tWkUm6HI8OxnsD+geSbAej8f4+KRSn2Lp7DPGVAsuSUHKkv5eHKpZnIbbQDSRlc3BaG5PuU2Vt&#10;LVmKa6MSwLg3SlNzlH2UA2VaqWODbCmIENW7YVdBRiYXTRF7p+FTTiZunDpsclOZar3j4CnHbbYe&#10;nTOCi72jrR3g3511i9903faa2r6Fak3/EqElefDytKY5nokQLwUSq2n2tKnxgg5toCk5dBJnc8AP&#10;T90nPJGNrJw1tCUlD+8XAhVn5rUjGr4c7u6mtcrK7t7+iBR8aLl9aHELeww09yG9CV5mMeGj2Yga&#10;wd7QQs9SVjIJJyl3yWXEjXIc2+2lJ0Gq2SzDaJW8iGfuyssUPE018eR6dSPQd2SKxMNz2GyUmDzi&#10;VItNng5miwi6zoTbzrWbN61hpmz3ZKQ9f6hn1PZhm/4GAAD//wMAUEsDBBQABgAIAAAAIQDtcQgj&#10;3AAAAAcBAAAPAAAAZHJzL2Rvd25yZXYueG1sTI9BS8NAFITvgv9heYK3drdRpI3ZFBUFUSi05uLt&#10;JXkmwezbkN2m6b/3edLjMMPMN9l2dr2aaAydZwurpQFFXPm648ZC8fGyWIMKEbnG3jNZOFOAbX55&#10;kWFa+xPvaTrERkkJhxQttDEOqdahaslhWPqBWLwvPzqMIsdG1yOepNz1OjHmTjvsWBZaHOipper7&#10;cHQWbnf8/HlOsNBvxW56LF/f99GU1l5fzQ/3oCLN8S8Mv/iCDrkwlf7IdVC9BTkSLSwSUGJuNkZ0&#10;Kakbs1qDzjP9nz//AQAA//8DAFBLAQItABQABgAIAAAAIQC2gziS/gAAAOEBAAATAAAAAAAAAAAA&#10;AAAAAAAAAABbQ29udGVudF9UeXBlc10ueG1sUEsBAi0AFAAGAAgAAAAhADj9If/WAAAAlAEAAAsA&#10;AAAAAAAAAAAAAAAALwEAAF9yZWxzLy5yZWxzUEsBAi0AFAAGAAgAAAAhANuqQHh6AgAAIAUAAA4A&#10;AAAAAAAAAAAAAAAALgIAAGRycy9lMm9Eb2MueG1sUEsBAi0AFAAGAAgAAAAhAO1xCCPcAAAABwEA&#10;AA8AAAAAAAAAAAAAAAAA1AQAAGRycy9kb3ducmV2LnhtbFBLBQYAAAAABAAEAPMAAADdBQAAAAA=&#10;" filled="f" strokecolor="black [3200]" strokeweight="1pt">
                <w10:wrap anchorx="margin"/>
              </v:rect>
            </w:pict>
          </mc:Fallback>
        </mc:AlternateContent>
      </w:r>
      <w:r w:rsidRPr="00686697">
        <w:rPr>
          <w:rFonts w:asciiTheme="minorEastAsia" w:hAnsiTheme="minorEastAsia" w:hint="eastAsia"/>
          <w:sz w:val="18"/>
          <w:szCs w:val="18"/>
        </w:rPr>
        <w:t>を24単位に緩和する．クオーターごとの上限履修単位数は設定しない．</w:t>
      </w:r>
    </w:p>
    <w:p w14:paraId="7528B318" w14:textId="77777777" w:rsidR="007E771F" w:rsidRPr="00686697" w:rsidRDefault="007E771F" w:rsidP="007E771F">
      <w:pPr>
        <w:pStyle w:val="aa"/>
        <w:numPr>
          <w:ilvl w:val="0"/>
          <w:numId w:val="7"/>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海外研修等において取得した単位，教職課程の卒業要件に含まれない単位は，履修上限単位から除外する</w:t>
      </w:r>
    </w:p>
    <w:p w14:paraId="7528B319" w14:textId="77777777" w:rsidR="007E771F" w:rsidRPr="00686697" w:rsidRDefault="007E771F" w:rsidP="007E771F">
      <w:pPr>
        <w:pStyle w:val="aa"/>
        <w:numPr>
          <w:ilvl w:val="0"/>
          <w:numId w:val="7"/>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他大学等で取得した単位については，単位の認定のみ行い，</w:t>
      </w:r>
      <w:r w:rsidRPr="00686697">
        <w:rPr>
          <w:rFonts w:asciiTheme="minorEastAsia" w:hAnsiTheme="minorEastAsia"/>
          <w:sz w:val="18"/>
          <w:szCs w:val="18"/>
        </w:rPr>
        <w:t>GPA</w:t>
      </w:r>
      <w:r w:rsidRPr="00686697">
        <w:rPr>
          <w:rFonts w:asciiTheme="minorEastAsia" w:hAnsiTheme="minorEastAsia" w:hint="eastAsia"/>
          <w:sz w:val="18"/>
          <w:szCs w:val="18"/>
        </w:rPr>
        <w:t>に算入しない．</w:t>
      </w:r>
    </w:p>
    <w:p w14:paraId="7528B31A" w14:textId="77777777" w:rsidR="007E771F" w:rsidRPr="00EE45BF" w:rsidRDefault="007E771F" w:rsidP="007E771F">
      <w:pPr>
        <w:pStyle w:val="aa"/>
        <w:numPr>
          <w:ilvl w:val="0"/>
          <w:numId w:val="7"/>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最少履修者数</w:t>
      </w:r>
    </w:p>
    <w:p w14:paraId="7528B31B" w14:textId="77777777" w:rsidR="007E771F" w:rsidRPr="00686697" w:rsidRDefault="007E771F" w:rsidP="007E771F">
      <w:pPr>
        <w:pStyle w:val="aa"/>
        <w:numPr>
          <w:ilvl w:val="0"/>
          <w:numId w:val="7"/>
        </w:numPr>
        <w:spacing w:line="300" w:lineRule="exact"/>
        <w:ind w:leftChars="0"/>
        <w:rPr>
          <w:rFonts w:asciiTheme="minorEastAsia" w:hAnsiTheme="minorEastAsia"/>
          <w:sz w:val="18"/>
          <w:szCs w:val="18"/>
        </w:rPr>
      </w:pPr>
      <w:r w:rsidRPr="00686697">
        <w:rPr>
          <w:rFonts w:asciiTheme="minorEastAsia" w:hAnsiTheme="minorEastAsia"/>
          <w:sz w:val="18"/>
          <w:szCs w:val="18"/>
        </w:rPr>
        <w:t>3</w:t>
      </w:r>
      <w:r w:rsidRPr="00686697">
        <w:rPr>
          <w:rFonts w:asciiTheme="minorEastAsia" w:hAnsiTheme="minorEastAsia" w:hint="eastAsia"/>
          <w:sz w:val="18"/>
          <w:szCs w:val="18"/>
        </w:rPr>
        <w:t>年間にわたって履修者数が一定数を超えない場合には，原則としてその次の年度に科目を廃止する．</w:t>
      </w:r>
    </w:p>
    <w:p w14:paraId="7528B31C" w14:textId="77777777" w:rsidR="007E771F" w:rsidRPr="00EE45BF" w:rsidRDefault="007E771F" w:rsidP="007E771F">
      <w:pPr>
        <w:pStyle w:val="aa"/>
        <w:numPr>
          <w:ilvl w:val="0"/>
          <w:numId w:val="7"/>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授業内容の開示など</w:t>
      </w:r>
    </w:p>
    <w:p w14:paraId="7528B31D" w14:textId="77777777" w:rsidR="007E771F" w:rsidRPr="00686697" w:rsidRDefault="007E771F" w:rsidP="007E771F">
      <w:pPr>
        <w:pStyle w:val="aa"/>
        <w:numPr>
          <w:ilvl w:val="0"/>
          <w:numId w:val="7"/>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教育・</w:t>
      </w:r>
      <w:r>
        <w:rPr>
          <w:rFonts w:asciiTheme="minorEastAsia" w:hAnsiTheme="minorEastAsia" w:hint="eastAsia"/>
          <w:sz w:val="18"/>
          <w:szCs w:val="18"/>
        </w:rPr>
        <w:t>学習</w:t>
      </w:r>
      <w:r w:rsidRPr="00686697">
        <w:rPr>
          <w:rFonts w:asciiTheme="minorEastAsia" w:hAnsiTheme="minorEastAsia" w:hint="eastAsia"/>
          <w:sz w:val="18"/>
          <w:szCs w:val="18"/>
        </w:rPr>
        <w:t>内容の担当教員・履修学生以外の教職員・学生への開示と，本学の優れた教育内容の社会への発信，ならびにこれらのアーカイブ化を推進する．</w:t>
      </w:r>
    </w:p>
    <w:p w14:paraId="7528B31E" w14:textId="77777777" w:rsidR="007E771F" w:rsidRPr="00686697" w:rsidRDefault="007E771F" w:rsidP="007E771F">
      <w:pPr>
        <w:pStyle w:val="aa"/>
        <w:numPr>
          <w:ilvl w:val="0"/>
          <w:numId w:val="7"/>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科目の内容を端的に表す資料を原則全科目について開示する．</w:t>
      </w:r>
    </w:p>
    <w:p w14:paraId="7528B31F" w14:textId="77777777" w:rsidR="007E771F" w:rsidRPr="00686697" w:rsidRDefault="007E771F" w:rsidP="007E771F">
      <w:pPr>
        <w:pStyle w:val="aa"/>
        <w:numPr>
          <w:ilvl w:val="0"/>
          <w:numId w:val="7"/>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講義収録システムを導入して，全科目について，その講義内容を収録・開示することを目指す．</w:t>
      </w:r>
    </w:p>
    <w:p w14:paraId="7528B320" w14:textId="77777777" w:rsidR="007E771F" w:rsidRPr="00EE45BF" w:rsidRDefault="007E771F" w:rsidP="007E771F">
      <w:pPr>
        <w:pStyle w:val="aa"/>
        <w:numPr>
          <w:ilvl w:val="0"/>
          <w:numId w:val="1"/>
        </w:numPr>
        <w:spacing w:line="300" w:lineRule="exact"/>
        <w:ind w:leftChars="0"/>
        <w:rPr>
          <w:rFonts w:asciiTheme="majorEastAsia" w:eastAsiaTheme="majorEastAsia" w:hAnsiTheme="majorEastAsia"/>
          <w:sz w:val="18"/>
          <w:szCs w:val="18"/>
        </w:rPr>
      </w:pPr>
      <w:r w:rsidRPr="00EE45BF">
        <w:rPr>
          <w:rFonts w:asciiTheme="majorEastAsia" w:eastAsiaTheme="majorEastAsia" w:hAnsiTheme="majorEastAsia" w:hint="eastAsia"/>
          <w:sz w:val="18"/>
          <w:szCs w:val="18"/>
        </w:rPr>
        <w:t>シラバスの改善</w:t>
      </w:r>
    </w:p>
    <w:p w14:paraId="7528B321" w14:textId="77777777" w:rsidR="007E771F" w:rsidRPr="00686697" w:rsidRDefault="00A479F2" w:rsidP="007E771F">
      <w:pPr>
        <w:pStyle w:val="aa"/>
        <w:numPr>
          <w:ilvl w:val="0"/>
          <w:numId w:val="8"/>
        </w:numPr>
        <w:spacing w:line="300" w:lineRule="exact"/>
        <w:ind w:leftChars="0"/>
        <w:rPr>
          <w:rFonts w:asciiTheme="minorEastAsia" w:hAnsiTheme="minorEastAsia"/>
          <w:sz w:val="18"/>
          <w:szCs w:val="18"/>
        </w:rPr>
      </w:pPr>
      <w:r>
        <w:rPr>
          <w:rFonts w:asciiTheme="minorEastAsia" w:hAnsiTheme="minorEastAsia" w:hint="eastAsia"/>
          <w:sz w:val="18"/>
          <w:szCs w:val="18"/>
        </w:rPr>
        <w:t>シラバス記載の情報のみにより，学修</w:t>
      </w:r>
      <w:r w:rsidR="007E771F" w:rsidRPr="00686697">
        <w:rPr>
          <w:rFonts w:asciiTheme="minorEastAsia" w:hAnsiTheme="minorEastAsia" w:hint="eastAsia"/>
          <w:sz w:val="18"/>
          <w:szCs w:val="18"/>
        </w:rPr>
        <w:t>方法や</w:t>
      </w:r>
      <w:r>
        <w:rPr>
          <w:rFonts w:asciiTheme="minorEastAsia" w:hAnsiTheme="minorEastAsia" w:hint="eastAsia"/>
          <w:sz w:val="18"/>
          <w:szCs w:val="18"/>
        </w:rPr>
        <w:t>その</w:t>
      </w:r>
      <w:r w:rsidR="007E771F" w:rsidRPr="00686697">
        <w:rPr>
          <w:rFonts w:asciiTheme="minorEastAsia" w:hAnsiTheme="minorEastAsia" w:hint="eastAsia"/>
          <w:sz w:val="18"/>
          <w:szCs w:val="18"/>
        </w:rPr>
        <w:t>成果を理解できるようにシラバスを改善する．</w:t>
      </w:r>
    </w:p>
    <w:p w14:paraId="7528B322" w14:textId="77777777" w:rsidR="007E771F" w:rsidRPr="00686697" w:rsidRDefault="007E771F" w:rsidP="007E771F">
      <w:pPr>
        <w:pStyle w:val="aa"/>
        <w:numPr>
          <w:ilvl w:val="0"/>
          <w:numId w:val="8"/>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授業ごとの学修コンテンツを開示する．</w:t>
      </w:r>
    </w:p>
    <w:p w14:paraId="7528B323" w14:textId="77777777" w:rsidR="007E771F" w:rsidRPr="00EE45BF" w:rsidRDefault="007E771F" w:rsidP="007E771F">
      <w:pPr>
        <w:spacing w:line="300" w:lineRule="exact"/>
        <w:rPr>
          <w:rFonts w:asciiTheme="majorEastAsia" w:eastAsiaTheme="majorEastAsia" w:hAnsiTheme="majorEastAsia"/>
          <w:szCs w:val="18"/>
        </w:rPr>
      </w:pPr>
      <w:r w:rsidRPr="00EE45BF">
        <w:rPr>
          <w:rFonts w:asciiTheme="majorEastAsia" w:eastAsiaTheme="majorEastAsia" w:hAnsiTheme="majorEastAsia" w:hint="eastAsia"/>
          <w:szCs w:val="18"/>
        </w:rPr>
        <w:t>(2) 初年次教育から始めるPBL科目</w:t>
      </w:r>
    </w:p>
    <w:p w14:paraId="7528B324" w14:textId="77777777" w:rsidR="007E771F" w:rsidRPr="00686697" w:rsidRDefault="007E771F" w:rsidP="007E771F">
      <w:pPr>
        <w:pStyle w:val="aa"/>
        <w:numPr>
          <w:ilvl w:val="0"/>
          <w:numId w:val="9"/>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１年次に，「東京都市大学型 導入教育“心に学びの灯を点ける”プログラム」 を実施する．</w:t>
      </w:r>
    </w:p>
    <w:p w14:paraId="7528B325" w14:textId="77777777" w:rsidR="007E771F" w:rsidRPr="00686697" w:rsidRDefault="007E771F" w:rsidP="007E771F">
      <w:pPr>
        <w:pStyle w:val="aa"/>
        <w:numPr>
          <w:ilvl w:val="0"/>
          <w:numId w:val="9"/>
        </w:numPr>
        <w:ind w:leftChars="0" w:rightChars="33" w:right="76"/>
        <w:rPr>
          <w:rFonts w:asciiTheme="minorEastAsia" w:hAnsiTheme="minorEastAsia"/>
          <w:sz w:val="18"/>
          <w:szCs w:val="18"/>
        </w:rPr>
      </w:pPr>
      <w:r w:rsidRPr="00686697">
        <w:rPr>
          <w:rFonts w:asciiTheme="minorEastAsia" w:hAnsiTheme="minorEastAsia" w:hint="eastAsia"/>
          <w:sz w:val="18"/>
          <w:szCs w:val="18"/>
        </w:rPr>
        <w:t>ウォーミングアップセミナーⅠ・Ⅱ・Ⅲプログラムを開発し，実施する．</w:t>
      </w:r>
    </w:p>
    <w:p w14:paraId="7528B326" w14:textId="77777777" w:rsidR="007E771F" w:rsidRPr="00686697" w:rsidRDefault="007E771F" w:rsidP="007E771F">
      <w:pPr>
        <w:pStyle w:val="aa"/>
        <w:numPr>
          <w:ilvl w:val="0"/>
          <w:numId w:val="9"/>
        </w:numPr>
        <w:ind w:leftChars="0" w:rightChars="33" w:right="76"/>
        <w:rPr>
          <w:rFonts w:asciiTheme="minorEastAsia" w:hAnsiTheme="minorEastAsia"/>
          <w:sz w:val="18"/>
          <w:szCs w:val="18"/>
        </w:rPr>
      </w:pPr>
      <w:r>
        <w:rPr>
          <w:rFonts w:asciiTheme="minorEastAsia" w:hAnsiTheme="minorEastAsia" w:hint="eastAsia"/>
          <w:sz w:val="18"/>
          <w:szCs w:val="18"/>
        </w:rPr>
        <w:t>フレッシャーズキャンプでは</w:t>
      </w:r>
      <w:r w:rsidRPr="00686697">
        <w:rPr>
          <w:rFonts w:asciiTheme="minorEastAsia" w:hAnsiTheme="minorEastAsia" w:hint="eastAsia"/>
          <w:sz w:val="18"/>
          <w:szCs w:val="18"/>
        </w:rPr>
        <w:t>現行プログラム＋一部自校教育に関する共通WSを導入する．</w:t>
      </w:r>
    </w:p>
    <w:p w14:paraId="7528B327" w14:textId="77777777" w:rsidR="007E771F" w:rsidRPr="00686697" w:rsidRDefault="007E771F" w:rsidP="007E771F">
      <w:pPr>
        <w:pStyle w:val="aa"/>
        <w:numPr>
          <w:ilvl w:val="0"/>
          <w:numId w:val="9"/>
        </w:numPr>
        <w:ind w:leftChars="0" w:rightChars="33" w:right="76"/>
        <w:rPr>
          <w:rFonts w:asciiTheme="minorEastAsia" w:hAnsiTheme="minorEastAsia"/>
          <w:sz w:val="18"/>
          <w:szCs w:val="18"/>
        </w:rPr>
      </w:pPr>
      <w:r w:rsidRPr="00686697">
        <w:rPr>
          <w:rFonts w:asciiTheme="minorEastAsia" w:hAnsiTheme="minorEastAsia" w:hint="eastAsia"/>
          <w:sz w:val="18"/>
          <w:szCs w:val="18"/>
        </w:rPr>
        <w:t>1年次の新規科目SD PBL(</w:t>
      </w:r>
      <w:r w:rsidRPr="00686697">
        <w:rPr>
          <w:rFonts w:asciiTheme="minorEastAsia" w:hAnsiTheme="minorEastAsia"/>
          <w:sz w:val="18"/>
          <w:szCs w:val="18"/>
        </w:rPr>
        <w:t>1)</w:t>
      </w:r>
      <w:r w:rsidRPr="00686697">
        <w:rPr>
          <w:rFonts w:asciiTheme="minorEastAsia" w:hAnsiTheme="minorEastAsia" w:hint="eastAsia"/>
          <w:sz w:val="18"/>
          <w:szCs w:val="18"/>
        </w:rPr>
        <w:t>では，PBL基礎力訓練プログラムとしてデザイン</w:t>
      </w:r>
      <w:r>
        <w:rPr>
          <w:rFonts w:asciiTheme="minorEastAsia" w:hAnsiTheme="minorEastAsia" w:hint="eastAsia"/>
          <w:sz w:val="18"/>
          <w:szCs w:val="18"/>
        </w:rPr>
        <w:t>し実施する</w:t>
      </w:r>
      <w:r w:rsidRPr="00686697">
        <w:rPr>
          <w:rFonts w:asciiTheme="minorEastAsia" w:hAnsiTheme="minorEastAsia" w:hint="eastAsia"/>
          <w:sz w:val="18"/>
          <w:szCs w:val="18"/>
        </w:rPr>
        <w:t>．</w:t>
      </w:r>
    </w:p>
    <w:p w14:paraId="7528B328" w14:textId="77777777" w:rsidR="007E771F" w:rsidRPr="00686697" w:rsidRDefault="007E771F" w:rsidP="007E771F">
      <w:pPr>
        <w:pStyle w:val="aa"/>
        <w:numPr>
          <w:ilvl w:val="0"/>
          <w:numId w:val="9"/>
        </w:numPr>
        <w:ind w:leftChars="0" w:rightChars="33" w:right="76"/>
        <w:rPr>
          <w:rFonts w:asciiTheme="minorEastAsia" w:hAnsiTheme="minorEastAsia"/>
          <w:sz w:val="18"/>
          <w:szCs w:val="18"/>
        </w:rPr>
      </w:pPr>
      <w:r w:rsidRPr="00686697">
        <w:rPr>
          <w:rFonts w:asciiTheme="minorEastAsia" w:hAnsiTheme="minorEastAsia" w:hint="eastAsia"/>
          <w:sz w:val="18"/>
          <w:szCs w:val="18"/>
        </w:rPr>
        <w:t>2年次に新規科目SD PBL(</w:t>
      </w:r>
      <w:r w:rsidRPr="00686697">
        <w:rPr>
          <w:rFonts w:asciiTheme="minorEastAsia" w:hAnsiTheme="minorEastAsia"/>
          <w:sz w:val="18"/>
          <w:szCs w:val="18"/>
        </w:rPr>
        <w:t>2)</w:t>
      </w:r>
      <w:r w:rsidRPr="00686697">
        <w:rPr>
          <w:rFonts w:asciiTheme="minorEastAsia" w:hAnsiTheme="minorEastAsia" w:hint="eastAsia"/>
          <w:sz w:val="18"/>
          <w:szCs w:val="18"/>
        </w:rPr>
        <w:t>，3年次に新規科目SD PBL(</w:t>
      </w:r>
      <w:r w:rsidRPr="00686697">
        <w:rPr>
          <w:rFonts w:asciiTheme="minorEastAsia" w:hAnsiTheme="minorEastAsia"/>
          <w:sz w:val="18"/>
          <w:szCs w:val="18"/>
        </w:rPr>
        <w:t>3)</w:t>
      </w:r>
      <w:r w:rsidRPr="00686697">
        <w:rPr>
          <w:rFonts w:asciiTheme="minorEastAsia" w:hAnsiTheme="minorEastAsia" w:hint="eastAsia"/>
          <w:sz w:val="18"/>
          <w:szCs w:val="18"/>
        </w:rPr>
        <w:t>を設置し，都市大が修得目標に掲げるコンピテンシーを各学科の専門性を活かしながら段階的に養成するカリキュラムを設計</w:t>
      </w:r>
      <w:r>
        <w:rPr>
          <w:rFonts w:asciiTheme="minorEastAsia" w:hAnsiTheme="minorEastAsia" w:hint="eastAsia"/>
          <w:sz w:val="18"/>
          <w:szCs w:val="18"/>
        </w:rPr>
        <w:t>し実施する</w:t>
      </w:r>
      <w:r w:rsidRPr="00686697">
        <w:rPr>
          <w:rFonts w:asciiTheme="minorEastAsia" w:hAnsiTheme="minorEastAsia" w:hint="eastAsia"/>
          <w:sz w:val="18"/>
          <w:szCs w:val="18"/>
        </w:rPr>
        <w:t>．</w:t>
      </w:r>
    </w:p>
    <w:p w14:paraId="7528B329" w14:textId="77777777" w:rsidR="007E771F" w:rsidRPr="00EE45BF" w:rsidRDefault="007E771F" w:rsidP="007E771F">
      <w:pPr>
        <w:spacing w:line="300" w:lineRule="exact"/>
        <w:rPr>
          <w:rFonts w:asciiTheme="majorEastAsia" w:eastAsiaTheme="majorEastAsia" w:hAnsiTheme="majorEastAsia"/>
          <w:szCs w:val="18"/>
        </w:rPr>
      </w:pPr>
      <w:r w:rsidRPr="00EE45BF">
        <w:rPr>
          <w:rFonts w:asciiTheme="majorEastAsia" w:eastAsiaTheme="majorEastAsia" w:hAnsiTheme="majorEastAsia" w:hint="eastAsia"/>
          <w:szCs w:val="18"/>
        </w:rPr>
        <w:t>(3) 教養科目</w:t>
      </w:r>
    </w:p>
    <w:p w14:paraId="7528B32A" w14:textId="77777777" w:rsidR="007E771F" w:rsidRPr="00686697" w:rsidRDefault="007E771F" w:rsidP="007E771F">
      <w:pPr>
        <w:pStyle w:val="aa"/>
        <w:numPr>
          <w:ilvl w:val="0"/>
          <w:numId w:val="10"/>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課題探求型のアクティブラーニング(AL)を全教養科目に導入する．</w:t>
      </w:r>
    </w:p>
    <w:p w14:paraId="7528B32B" w14:textId="77777777" w:rsidR="007E771F" w:rsidRPr="00EE45BF" w:rsidRDefault="007E771F" w:rsidP="007E771F">
      <w:pPr>
        <w:spacing w:line="300" w:lineRule="exact"/>
        <w:rPr>
          <w:rFonts w:asciiTheme="majorEastAsia" w:eastAsiaTheme="majorEastAsia" w:hAnsiTheme="majorEastAsia"/>
          <w:szCs w:val="18"/>
        </w:rPr>
      </w:pPr>
      <w:r w:rsidRPr="00EE45BF">
        <w:rPr>
          <w:rFonts w:asciiTheme="majorEastAsia" w:eastAsiaTheme="majorEastAsia" w:hAnsiTheme="majorEastAsia" w:hint="eastAsia"/>
          <w:szCs w:val="18"/>
        </w:rPr>
        <w:t>(4)</w:t>
      </w:r>
      <w:r w:rsidRPr="00EE45BF">
        <w:rPr>
          <w:rFonts w:asciiTheme="majorEastAsia" w:eastAsiaTheme="majorEastAsia" w:hAnsiTheme="majorEastAsia"/>
          <w:szCs w:val="18"/>
        </w:rPr>
        <w:t xml:space="preserve"> </w:t>
      </w:r>
      <w:r w:rsidRPr="00EE45BF">
        <w:rPr>
          <w:rFonts w:asciiTheme="majorEastAsia" w:eastAsiaTheme="majorEastAsia" w:hAnsiTheme="majorEastAsia" w:hint="eastAsia"/>
          <w:szCs w:val="18"/>
        </w:rPr>
        <w:t>語学科目</w:t>
      </w:r>
    </w:p>
    <w:p w14:paraId="7528B32C" w14:textId="77777777" w:rsidR="007E771F" w:rsidRPr="00686697" w:rsidRDefault="007E771F" w:rsidP="007E771F">
      <w:pPr>
        <w:pStyle w:val="aa"/>
        <w:numPr>
          <w:ilvl w:val="0"/>
          <w:numId w:val="10"/>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すべての学生の実際に語学を使う能力の向上を目的とした実用英語(サバイバルイングリッシュ)を受講できるような状況を整える．</w:t>
      </w:r>
    </w:p>
    <w:p w14:paraId="7528B32D" w14:textId="77777777" w:rsidR="007E771F" w:rsidRPr="00EE45BF" w:rsidRDefault="007E771F" w:rsidP="007E771F">
      <w:pPr>
        <w:spacing w:line="300" w:lineRule="exact"/>
        <w:rPr>
          <w:rFonts w:asciiTheme="majorEastAsia" w:eastAsiaTheme="majorEastAsia" w:hAnsiTheme="majorEastAsia"/>
          <w:szCs w:val="18"/>
        </w:rPr>
      </w:pPr>
      <w:r w:rsidRPr="00EE45BF">
        <w:rPr>
          <w:rFonts w:asciiTheme="majorEastAsia" w:eastAsiaTheme="majorEastAsia" w:hAnsiTheme="majorEastAsia" w:hint="eastAsia"/>
          <w:szCs w:val="18"/>
        </w:rPr>
        <w:t>(5)</w:t>
      </w:r>
      <w:r w:rsidRPr="00EE45BF">
        <w:rPr>
          <w:rFonts w:asciiTheme="majorEastAsia" w:eastAsiaTheme="majorEastAsia" w:hAnsiTheme="majorEastAsia"/>
          <w:szCs w:val="18"/>
        </w:rPr>
        <w:t xml:space="preserve"> </w:t>
      </w:r>
      <w:r w:rsidRPr="00EE45BF">
        <w:rPr>
          <w:rFonts w:asciiTheme="majorEastAsia" w:eastAsiaTheme="majorEastAsia" w:hAnsiTheme="majorEastAsia" w:hint="eastAsia"/>
          <w:szCs w:val="18"/>
        </w:rPr>
        <w:t>体育科目</w:t>
      </w:r>
    </w:p>
    <w:p w14:paraId="7528B32E" w14:textId="77777777" w:rsidR="007E771F" w:rsidRPr="00686697" w:rsidRDefault="007E771F" w:rsidP="007E771F">
      <w:pPr>
        <w:pStyle w:val="aa"/>
        <w:widowControl/>
        <w:numPr>
          <w:ilvl w:val="0"/>
          <w:numId w:val="10"/>
        </w:numPr>
        <w:ind w:leftChars="0"/>
        <w:rPr>
          <w:rFonts w:asciiTheme="minorEastAsia" w:hAnsiTheme="minorEastAsia"/>
          <w:sz w:val="18"/>
          <w:szCs w:val="18"/>
        </w:rPr>
      </w:pPr>
      <w:r w:rsidRPr="00686697">
        <w:rPr>
          <w:rFonts w:asciiTheme="minorEastAsia" w:hAnsiTheme="minorEastAsia" w:hint="eastAsia"/>
          <w:sz w:val="18"/>
          <w:szCs w:val="18"/>
        </w:rPr>
        <w:t>週1回開講のクオーター科目を全クオーターで開講し，その中から2科目を選択必修させる．</w:t>
      </w:r>
    </w:p>
    <w:p w14:paraId="7528B32F" w14:textId="77777777" w:rsidR="007E771F" w:rsidRPr="00686697" w:rsidRDefault="007E771F" w:rsidP="007E771F">
      <w:pPr>
        <w:pStyle w:val="aa"/>
        <w:widowControl/>
        <w:numPr>
          <w:ilvl w:val="0"/>
          <w:numId w:val="10"/>
        </w:numPr>
        <w:ind w:leftChars="0"/>
        <w:rPr>
          <w:rFonts w:asciiTheme="minorEastAsia" w:hAnsiTheme="minorEastAsia"/>
          <w:sz w:val="18"/>
          <w:szCs w:val="18"/>
        </w:rPr>
      </w:pPr>
      <w:r w:rsidRPr="00686697">
        <w:rPr>
          <w:rFonts w:asciiTheme="minorEastAsia" w:hAnsiTheme="minorEastAsia" w:hint="eastAsia"/>
          <w:sz w:val="18"/>
          <w:szCs w:val="18"/>
        </w:rPr>
        <w:t>行動戦略に関する学生同士の議論を交えたアクティブラーニングを導入する．</w:t>
      </w:r>
    </w:p>
    <w:p w14:paraId="7528B330" w14:textId="77777777" w:rsidR="007E771F" w:rsidRPr="00EE45BF" w:rsidRDefault="007E771F" w:rsidP="007E771F">
      <w:pPr>
        <w:spacing w:line="300" w:lineRule="exact"/>
        <w:rPr>
          <w:rFonts w:asciiTheme="majorEastAsia" w:eastAsiaTheme="majorEastAsia" w:hAnsiTheme="majorEastAsia"/>
          <w:szCs w:val="18"/>
        </w:rPr>
      </w:pPr>
      <w:r w:rsidRPr="00EE45BF">
        <w:rPr>
          <w:rFonts w:asciiTheme="majorEastAsia" w:eastAsiaTheme="majorEastAsia" w:hAnsiTheme="majorEastAsia" w:hint="eastAsia"/>
          <w:szCs w:val="18"/>
        </w:rPr>
        <w:t>(6)</w:t>
      </w:r>
      <w:r w:rsidRPr="00EE45BF">
        <w:rPr>
          <w:rFonts w:asciiTheme="majorEastAsia" w:eastAsiaTheme="majorEastAsia" w:hAnsiTheme="majorEastAsia"/>
          <w:szCs w:val="18"/>
        </w:rPr>
        <w:t xml:space="preserve"> </w:t>
      </w:r>
      <w:r w:rsidRPr="00EE45BF">
        <w:rPr>
          <w:rFonts w:asciiTheme="majorEastAsia" w:eastAsiaTheme="majorEastAsia" w:hAnsiTheme="majorEastAsia" w:hint="eastAsia"/>
          <w:szCs w:val="18"/>
        </w:rPr>
        <w:t>事例研究と卒業研究</w:t>
      </w:r>
    </w:p>
    <w:p w14:paraId="7528B331" w14:textId="77777777" w:rsidR="007E771F" w:rsidRPr="00686697" w:rsidRDefault="007E771F" w:rsidP="007E771F">
      <w:pPr>
        <w:pStyle w:val="aa"/>
        <w:numPr>
          <w:ilvl w:val="0"/>
          <w:numId w:val="11"/>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「卒業研究」のルーブリックの検討，成果指標の精査を行ってより具体的な施策を提案する．</w:t>
      </w:r>
    </w:p>
    <w:p w14:paraId="7528B332" w14:textId="77777777" w:rsidR="007E771F" w:rsidRPr="00686697" w:rsidRDefault="007E771F" w:rsidP="007E771F">
      <w:pPr>
        <w:pStyle w:val="aa"/>
        <w:numPr>
          <w:ilvl w:val="0"/>
          <w:numId w:val="11"/>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卒業研究と事例研究をセメスター科目とする．</w:t>
      </w:r>
    </w:p>
    <w:p w14:paraId="7528B333" w14:textId="77777777" w:rsidR="007E771F" w:rsidRPr="00686697" w:rsidRDefault="007E771F" w:rsidP="007E771F">
      <w:pPr>
        <w:pStyle w:val="aa"/>
        <w:numPr>
          <w:ilvl w:val="0"/>
          <w:numId w:val="11"/>
        </w:numPr>
        <w:spacing w:line="300" w:lineRule="exact"/>
        <w:ind w:leftChars="0"/>
        <w:rPr>
          <w:rFonts w:asciiTheme="minorEastAsia" w:hAnsiTheme="minorEastAsia"/>
          <w:sz w:val="18"/>
          <w:szCs w:val="18"/>
        </w:rPr>
      </w:pPr>
      <w:r w:rsidRPr="00686697">
        <w:rPr>
          <w:rFonts w:asciiTheme="minorEastAsia" w:hAnsiTheme="minorEastAsia" w:hint="eastAsia"/>
          <w:sz w:val="18"/>
          <w:szCs w:val="18"/>
        </w:rPr>
        <w:t>高学年でTUCPなどの海外プログラムに参加する場合には，遠隔指導の実施や滞在先での学修成果の積極的評価により，卒業研究の履修が海外プログラム参加の障害とならないように配慮する．</w:t>
      </w:r>
    </w:p>
    <w:p w14:paraId="7528B334" w14:textId="77777777" w:rsidR="007E771F" w:rsidRDefault="007E771F" w:rsidP="007E771F">
      <w:pPr>
        <w:spacing w:line="300" w:lineRule="exact"/>
        <w:rPr>
          <w:rFonts w:asciiTheme="minorEastAsia" w:hAnsiTheme="minorEastAsia"/>
          <w:szCs w:val="18"/>
        </w:rPr>
      </w:pPr>
    </w:p>
    <w:p w14:paraId="7528B335" w14:textId="77777777" w:rsidR="007E771F" w:rsidRPr="007E771F" w:rsidRDefault="007E771F" w:rsidP="007E771F">
      <w:pPr>
        <w:spacing w:line="300" w:lineRule="exact"/>
        <w:ind w:firstLineChars="100" w:firstLine="229"/>
        <w:rPr>
          <w:rFonts w:asciiTheme="minorEastAsia" w:hAnsiTheme="minorEastAsia"/>
          <w:szCs w:val="18"/>
        </w:rPr>
      </w:pPr>
      <w:r w:rsidRPr="007E771F">
        <w:rPr>
          <w:rFonts w:asciiTheme="minorEastAsia" w:hAnsiTheme="minorEastAsia" w:hint="eastAsia"/>
          <w:szCs w:val="18"/>
        </w:rPr>
        <w:t>本学では，2017年度より大学教育再生加速プログラムが進行中であり，このなかでは，学生の多様な学修の成果を可視化する取り組みを行っている．すなわち，「リテラシー基礎力」「コ</w:t>
      </w:r>
      <w:r w:rsidRPr="007E771F">
        <w:rPr>
          <w:rFonts w:asciiTheme="minorEastAsia" w:hAnsiTheme="minorEastAsia" w:hint="eastAsia"/>
          <w:szCs w:val="18"/>
        </w:rPr>
        <w:lastRenderedPageBreak/>
        <w:t>ンピテンシー基礎力」「語学力」「基礎学修力」「専門学修力」「専門実践力」という5つの力に学修成果を集約してレーダーチャートで示し，それを学年進行にともなって変化する定量情報として学生に提供されるのがプレディプロマサプリメント・ディプロマサプリメントである．また，様々な課外活動等の成果を定性情報として集積して視覚化するシステムがTCU-FORCE</w:t>
      </w:r>
      <w:r w:rsidRPr="007E771F">
        <w:rPr>
          <w:rFonts w:asciiTheme="minorEastAsia" w:hAnsiTheme="minorEastAsia"/>
          <w:szCs w:val="18"/>
        </w:rPr>
        <w:t>(TCU-FOR Career Enrollment)</w:t>
      </w:r>
      <w:r w:rsidRPr="007E771F">
        <w:rPr>
          <w:rFonts w:asciiTheme="minorEastAsia" w:hAnsiTheme="minorEastAsia" w:hint="eastAsia"/>
          <w:szCs w:val="18"/>
        </w:rPr>
        <w:t>である．</w:t>
      </w:r>
    </w:p>
    <w:p w14:paraId="7528B336" w14:textId="77777777" w:rsidR="007E771F" w:rsidRPr="007E771F" w:rsidRDefault="00A479F2" w:rsidP="007E771F">
      <w:pPr>
        <w:spacing w:line="300" w:lineRule="exact"/>
        <w:ind w:firstLineChars="100" w:firstLine="229"/>
        <w:rPr>
          <w:rFonts w:asciiTheme="minorEastAsia" w:hAnsiTheme="minorEastAsia"/>
          <w:szCs w:val="18"/>
        </w:rPr>
      </w:pPr>
      <w:r w:rsidRPr="007E771F">
        <w:rPr>
          <w:rFonts w:asciiTheme="majorEastAsia" w:eastAsiaTheme="majorEastAsia" w:hAnsiTheme="majorEastAsia"/>
          <w:noProof/>
          <w:szCs w:val="18"/>
        </w:rPr>
        <mc:AlternateContent>
          <mc:Choice Requires="wps">
            <w:drawing>
              <wp:anchor distT="45720" distB="45720" distL="114300" distR="114300" simplePos="0" relativeHeight="251661312" behindDoc="0" locked="0" layoutInCell="1" allowOverlap="1" wp14:anchorId="7528B33F" wp14:editId="7528B340">
                <wp:simplePos x="0" y="0"/>
                <wp:positionH relativeFrom="margin">
                  <wp:align>right</wp:align>
                </wp:positionH>
                <wp:positionV relativeFrom="paragraph">
                  <wp:posOffset>1290320</wp:posOffset>
                </wp:positionV>
                <wp:extent cx="3202305" cy="663321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6633210"/>
                        </a:xfrm>
                        <a:prstGeom prst="rect">
                          <a:avLst/>
                        </a:prstGeom>
                        <a:solidFill>
                          <a:srgbClr val="FFFFFF"/>
                        </a:solidFill>
                        <a:ln w="9525">
                          <a:noFill/>
                          <a:miter lim="800000"/>
                          <a:headEnd/>
                          <a:tailEnd/>
                        </a:ln>
                      </wps:spPr>
                      <wps:txbx>
                        <w:txbxContent>
                          <w:p w14:paraId="7528B34B" w14:textId="77777777" w:rsidR="007E771F" w:rsidRDefault="007E771F" w:rsidP="007E771F">
                            <w:r>
                              <w:rPr>
                                <w:noProof/>
                              </w:rPr>
                              <w:drawing>
                                <wp:inline distT="0" distB="0" distL="0" distR="0" wp14:anchorId="7528B351" wp14:editId="7528B352">
                                  <wp:extent cx="2985135" cy="1823736"/>
                                  <wp:effectExtent l="0" t="0" r="5715" b="5080"/>
                                  <wp:docPr id="23" name="図 23"/>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9044" cy="1826124"/>
                                          </a:xfrm>
                                          <a:prstGeom prst="rect">
                                            <a:avLst/>
                                          </a:prstGeom>
                                          <a:noFill/>
                                          <a:ln>
                                            <a:noFill/>
                                          </a:ln>
                                        </pic:spPr>
                                      </pic:pic>
                                    </a:graphicData>
                                  </a:graphic>
                                </wp:inline>
                              </w:drawing>
                            </w:r>
                          </w:p>
                          <w:p w14:paraId="7528B34C" w14:textId="77777777" w:rsidR="007E771F" w:rsidRPr="00F30285" w:rsidRDefault="007E771F" w:rsidP="007E771F">
                            <w:pPr>
                              <w:jc w:val="center"/>
                              <w:rPr>
                                <w:szCs w:val="18"/>
                              </w:rPr>
                            </w:pPr>
                            <w:r w:rsidRPr="00F30285">
                              <w:rPr>
                                <w:rFonts w:asciiTheme="majorEastAsia" w:eastAsiaTheme="majorEastAsia" w:hAnsiTheme="majorEastAsia" w:hint="eastAsia"/>
                                <w:szCs w:val="18"/>
                              </w:rPr>
                              <w:t xml:space="preserve">図-1 </w:t>
                            </w:r>
                            <w:r w:rsidRPr="00F30285">
                              <w:rPr>
                                <w:rFonts w:asciiTheme="minorEastAsia" w:hAnsiTheme="minorEastAsia" w:hint="eastAsia"/>
                                <w:szCs w:val="18"/>
                              </w:rPr>
                              <w:t>主体的な学修を促す四つの</w:t>
                            </w:r>
                            <w:r w:rsidRPr="00F30285">
                              <w:rPr>
                                <w:rFonts w:asciiTheme="minorEastAsia" w:hAnsiTheme="minorEastAsia"/>
                                <w:szCs w:val="18"/>
                              </w:rPr>
                              <w:t>施策</w:t>
                            </w:r>
                          </w:p>
                          <w:p w14:paraId="7528B34D" w14:textId="77777777" w:rsidR="007E771F" w:rsidRDefault="007E771F" w:rsidP="007E771F">
                            <w:r>
                              <w:rPr>
                                <w:noProof/>
                              </w:rPr>
                              <w:drawing>
                                <wp:inline distT="0" distB="0" distL="0" distR="0" wp14:anchorId="7528B353" wp14:editId="7528B354">
                                  <wp:extent cx="2998828" cy="1887597"/>
                                  <wp:effectExtent l="0" t="0" r="0" b="0"/>
                                  <wp:docPr id="24" name="図 24"/>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4752" cy="1897620"/>
                                          </a:xfrm>
                                          <a:prstGeom prst="rect">
                                            <a:avLst/>
                                          </a:prstGeom>
                                          <a:noFill/>
                                          <a:ln>
                                            <a:noFill/>
                                          </a:ln>
                                        </pic:spPr>
                                      </pic:pic>
                                    </a:graphicData>
                                  </a:graphic>
                                </wp:inline>
                              </w:drawing>
                            </w:r>
                          </w:p>
                          <w:p w14:paraId="7528B34E" w14:textId="77777777" w:rsidR="007E771F" w:rsidRPr="00F30285" w:rsidRDefault="007E771F" w:rsidP="007E771F">
                            <w:pPr>
                              <w:jc w:val="center"/>
                              <w:rPr>
                                <w:szCs w:val="18"/>
                              </w:rPr>
                            </w:pPr>
                            <w:r w:rsidRPr="00F30285">
                              <w:rPr>
                                <w:rFonts w:asciiTheme="majorEastAsia" w:eastAsiaTheme="majorEastAsia" w:hAnsiTheme="majorEastAsia" w:hint="eastAsia"/>
                                <w:szCs w:val="18"/>
                              </w:rPr>
                              <w:t xml:space="preserve">図-2 </w:t>
                            </w:r>
                            <w:r w:rsidRPr="00F30285">
                              <w:rPr>
                                <w:rFonts w:asciiTheme="minorEastAsia" w:hAnsiTheme="minorEastAsia" w:hint="eastAsia"/>
                                <w:szCs w:val="18"/>
                              </w:rPr>
                              <w:t>学習教育プロセスの可視化</w:t>
                            </w:r>
                          </w:p>
                          <w:p w14:paraId="7528B34F" w14:textId="77777777" w:rsidR="007E771F" w:rsidRDefault="007E771F" w:rsidP="007E771F">
                            <w:r>
                              <w:rPr>
                                <w:noProof/>
                              </w:rPr>
                              <w:drawing>
                                <wp:inline distT="0" distB="0" distL="0" distR="0" wp14:anchorId="7528B355" wp14:editId="7528B356">
                                  <wp:extent cx="3028666" cy="1823720"/>
                                  <wp:effectExtent l="0" t="0" r="635" b="5080"/>
                                  <wp:docPr id="25" name="図 25"/>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7895" cy="1835299"/>
                                          </a:xfrm>
                                          <a:prstGeom prst="rect">
                                            <a:avLst/>
                                          </a:prstGeom>
                                          <a:noFill/>
                                          <a:ln>
                                            <a:noFill/>
                                          </a:ln>
                                        </pic:spPr>
                                      </pic:pic>
                                    </a:graphicData>
                                  </a:graphic>
                                </wp:inline>
                              </w:drawing>
                            </w:r>
                          </w:p>
                          <w:p w14:paraId="7528B350" w14:textId="77777777" w:rsidR="007E771F" w:rsidRPr="00F30285" w:rsidRDefault="007E771F" w:rsidP="007E771F">
                            <w:pPr>
                              <w:jc w:val="center"/>
                              <w:rPr>
                                <w:szCs w:val="18"/>
                              </w:rPr>
                            </w:pPr>
                            <w:r w:rsidRPr="00F30285">
                              <w:rPr>
                                <w:rFonts w:asciiTheme="majorEastAsia" w:eastAsiaTheme="majorEastAsia" w:hAnsiTheme="majorEastAsia" w:hint="eastAsia"/>
                                <w:szCs w:val="18"/>
                              </w:rPr>
                              <w:t xml:space="preserve">図-3 </w:t>
                            </w:r>
                            <w:r w:rsidRPr="00F30285">
                              <w:rPr>
                                <w:rFonts w:asciiTheme="minorEastAsia" w:hAnsiTheme="minorEastAsia" w:hint="eastAsia"/>
                                <w:szCs w:val="18"/>
                              </w:rPr>
                              <w:t>教育改革施策と改革の阻害要因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28B33F" id="_x0000_t202" coordsize="21600,21600" o:spt="202" path="m,l,21600r21600,l21600,xe">
                <v:stroke joinstyle="miter"/>
                <v:path gradientshapeok="t" o:connecttype="rect"/>
              </v:shapetype>
              <v:shape id="テキスト ボックス 2" o:spid="_x0000_s1026" type="#_x0000_t202" style="position:absolute;left:0;text-align:left;margin-left:200.95pt;margin-top:101.6pt;width:252.15pt;height:522.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NIQgIAAC8EAAAOAAAAZHJzL2Uyb0RvYy54bWysU82O0zAQviPxDpbvNGn6s7tR09XSpQhp&#10;+ZEWHsB1nMbC8QTbbVKOrYR4CF4BceZ58iKMnW63Wm4IHyyPZ+bzzDefZ9dtpchWGCtBZ3Q4iCkR&#10;mkMu9Tqjnz4uX1xSYh3TOVOgRUZ3wtLr+fNns6ZORQIlqFwYgiDapk2d0dK5Oo0iy0tRMTuAWmh0&#10;FmAq5tA06yg3rEH0SkVJHE+jBkxeG+DCWry97Z10HvCLQnD3viiscERlFGtzYTdhX/k9ms9Yujas&#10;LiU/lsH+oYqKSY2PnqBumWNkY+RfUJXkBiwUbsChiqAoJBehB+xmGD/p5r5ktQi9IDm2PtFk/x8s&#10;f7f9YIjMM5oMLyjRrMIhdYdv3f5nt//dHb6T7vCjOxy6/S+0SeIJa2qbYt59jZmufQktDj40b+s7&#10;4J8t0bAomV6LG2OgKQXLseChz4zOUnsc60FWzVvI8V22cRCA2sJUnk3khyA6Dm53GpZoHeF4OUri&#10;ZBRPKOHom05Ho2QYxhmx9CG9Nta9FlARf8ioQTUEeLa9s86Xw9KHEP+aBSXzpVQqGGa9WihDtgyV&#10;swwrdPAkTGnSZPRqkkwCsgafH0RVSYfKVrLK6GXsV681T8crnYcQx6Tqz1iJ0kd+PCU9Oa5dtRjo&#10;SVtBvkOmDPQKxh+HhxLMV0oaVG9G7ZcNM4IS9UYj21fD8djLPRjjyUWChjn3rM49THOEyqijpD8u&#10;XPgingcNNziVQga+His51oqqDDQef5CX/bkdoh7/+fwPAAAA//8DAFBLAwQUAAYACAAAACEA63Io&#10;3t4AAAAJAQAADwAAAGRycy9kb3ducmV2LnhtbEyPwU7DMBBE70j8g7VIXBC1SdOmhDgVIIG4tvQD&#10;NvE2iYjXUew26d9jTvQ4mtHMm2I7216cafSdYw1PCwWCuHam40bD4fvjcQPCB2SDvWPScCEP2/L2&#10;psDcuIl3dN6HRsQS9jlqaEMYcil93ZJFv3ADcfSObrQYohwbaUacYrntZaLUWlrsOC60ONB7S/XP&#10;/mQ1HL+mh9XzVH2GQ7ZL12/YZZW7aH1/N7++gAg0h/8w/OFHdCgjU+VObLzoNcQjQUOilgmIaK9U&#10;ugRRxVySZhuQZSGvH5S/AAAA//8DAFBLAQItABQABgAIAAAAIQC2gziS/gAAAOEBAAATAAAAAAAA&#10;AAAAAAAAAAAAAABbQ29udGVudF9UeXBlc10ueG1sUEsBAi0AFAAGAAgAAAAhADj9If/WAAAAlAEA&#10;AAsAAAAAAAAAAAAAAAAALwEAAF9yZWxzLy5yZWxzUEsBAi0AFAAGAAgAAAAhAO5uI0hCAgAALwQA&#10;AA4AAAAAAAAAAAAAAAAALgIAAGRycy9lMm9Eb2MueG1sUEsBAi0AFAAGAAgAAAAhAOtyKN7eAAAA&#10;CQEAAA8AAAAAAAAAAAAAAAAAnAQAAGRycy9kb3ducmV2LnhtbFBLBQYAAAAABAAEAPMAAACnBQAA&#10;AAA=&#10;" stroked="f">
                <v:textbox>
                  <w:txbxContent>
                    <w:p w14:paraId="7528B34B" w14:textId="77777777" w:rsidR="007E771F" w:rsidRDefault="007E771F" w:rsidP="007E771F">
                      <w:r>
                        <w:rPr>
                          <w:noProof/>
                        </w:rPr>
                        <w:drawing>
                          <wp:inline distT="0" distB="0" distL="0" distR="0" wp14:anchorId="7528B351" wp14:editId="7528B352">
                            <wp:extent cx="2985135" cy="1823736"/>
                            <wp:effectExtent l="0" t="0" r="5715" b="5080"/>
                            <wp:docPr id="23" name="図 23"/>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9044" cy="1826124"/>
                                    </a:xfrm>
                                    <a:prstGeom prst="rect">
                                      <a:avLst/>
                                    </a:prstGeom>
                                    <a:noFill/>
                                    <a:ln>
                                      <a:noFill/>
                                    </a:ln>
                                  </pic:spPr>
                                </pic:pic>
                              </a:graphicData>
                            </a:graphic>
                          </wp:inline>
                        </w:drawing>
                      </w:r>
                    </w:p>
                    <w:p w14:paraId="7528B34C" w14:textId="77777777" w:rsidR="007E771F" w:rsidRPr="00F30285" w:rsidRDefault="007E771F" w:rsidP="007E771F">
                      <w:pPr>
                        <w:jc w:val="center"/>
                        <w:rPr>
                          <w:szCs w:val="18"/>
                        </w:rPr>
                      </w:pPr>
                      <w:r w:rsidRPr="00F30285">
                        <w:rPr>
                          <w:rFonts w:asciiTheme="majorEastAsia" w:eastAsiaTheme="majorEastAsia" w:hAnsiTheme="majorEastAsia" w:hint="eastAsia"/>
                          <w:szCs w:val="18"/>
                        </w:rPr>
                        <w:t xml:space="preserve">図-1 </w:t>
                      </w:r>
                      <w:r w:rsidRPr="00F30285">
                        <w:rPr>
                          <w:rFonts w:asciiTheme="minorEastAsia" w:hAnsiTheme="minorEastAsia" w:hint="eastAsia"/>
                          <w:szCs w:val="18"/>
                        </w:rPr>
                        <w:t>主体的な学修を促す四つの</w:t>
                      </w:r>
                      <w:r w:rsidRPr="00F30285">
                        <w:rPr>
                          <w:rFonts w:asciiTheme="minorEastAsia" w:hAnsiTheme="minorEastAsia"/>
                          <w:szCs w:val="18"/>
                        </w:rPr>
                        <w:t>施策</w:t>
                      </w:r>
                    </w:p>
                    <w:p w14:paraId="7528B34D" w14:textId="77777777" w:rsidR="007E771F" w:rsidRDefault="007E771F" w:rsidP="007E771F">
                      <w:r>
                        <w:rPr>
                          <w:noProof/>
                        </w:rPr>
                        <w:drawing>
                          <wp:inline distT="0" distB="0" distL="0" distR="0" wp14:anchorId="7528B353" wp14:editId="7528B354">
                            <wp:extent cx="2998828" cy="1887597"/>
                            <wp:effectExtent l="0" t="0" r="0" b="0"/>
                            <wp:docPr id="24" name="図 24"/>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4752" cy="1897620"/>
                                    </a:xfrm>
                                    <a:prstGeom prst="rect">
                                      <a:avLst/>
                                    </a:prstGeom>
                                    <a:noFill/>
                                    <a:ln>
                                      <a:noFill/>
                                    </a:ln>
                                  </pic:spPr>
                                </pic:pic>
                              </a:graphicData>
                            </a:graphic>
                          </wp:inline>
                        </w:drawing>
                      </w:r>
                    </w:p>
                    <w:p w14:paraId="7528B34E" w14:textId="77777777" w:rsidR="007E771F" w:rsidRPr="00F30285" w:rsidRDefault="007E771F" w:rsidP="007E771F">
                      <w:pPr>
                        <w:jc w:val="center"/>
                        <w:rPr>
                          <w:szCs w:val="18"/>
                        </w:rPr>
                      </w:pPr>
                      <w:r w:rsidRPr="00F30285">
                        <w:rPr>
                          <w:rFonts w:asciiTheme="majorEastAsia" w:eastAsiaTheme="majorEastAsia" w:hAnsiTheme="majorEastAsia" w:hint="eastAsia"/>
                          <w:szCs w:val="18"/>
                        </w:rPr>
                        <w:t xml:space="preserve">図-2 </w:t>
                      </w:r>
                      <w:r w:rsidRPr="00F30285">
                        <w:rPr>
                          <w:rFonts w:asciiTheme="minorEastAsia" w:hAnsiTheme="minorEastAsia" w:hint="eastAsia"/>
                          <w:szCs w:val="18"/>
                        </w:rPr>
                        <w:t>学習教育プロセスの可視化</w:t>
                      </w:r>
                    </w:p>
                    <w:p w14:paraId="7528B34F" w14:textId="77777777" w:rsidR="007E771F" w:rsidRDefault="007E771F" w:rsidP="007E771F">
                      <w:r>
                        <w:rPr>
                          <w:noProof/>
                        </w:rPr>
                        <w:drawing>
                          <wp:inline distT="0" distB="0" distL="0" distR="0" wp14:anchorId="7528B355" wp14:editId="7528B356">
                            <wp:extent cx="3028666" cy="1823720"/>
                            <wp:effectExtent l="0" t="0" r="635" b="5080"/>
                            <wp:docPr id="25" name="図 25"/>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7895" cy="1835299"/>
                                    </a:xfrm>
                                    <a:prstGeom prst="rect">
                                      <a:avLst/>
                                    </a:prstGeom>
                                    <a:noFill/>
                                    <a:ln>
                                      <a:noFill/>
                                    </a:ln>
                                  </pic:spPr>
                                </pic:pic>
                              </a:graphicData>
                            </a:graphic>
                          </wp:inline>
                        </w:drawing>
                      </w:r>
                    </w:p>
                    <w:p w14:paraId="7528B350" w14:textId="77777777" w:rsidR="007E771F" w:rsidRPr="00F30285" w:rsidRDefault="007E771F" w:rsidP="007E771F">
                      <w:pPr>
                        <w:jc w:val="center"/>
                        <w:rPr>
                          <w:szCs w:val="18"/>
                        </w:rPr>
                      </w:pPr>
                      <w:r w:rsidRPr="00F30285">
                        <w:rPr>
                          <w:rFonts w:asciiTheme="majorEastAsia" w:eastAsiaTheme="majorEastAsia" w:hAnsiTheme="majorEastAsia" w:hint="eastAsia"/>
                          <w:szCs w:val="18"/>
                        </w:rPr>
                        <w:t xml:space="preserve">図-3 </w:t>
                      </w:r>
                      <w:r w:rsidRPr="00F30285">
                        <w:rPr>
                          <w:rFonts w:asciiTheme="minorEastAsia" w:hAnsiTheme="minorEastAsia" w:hint="eastAsia"/>
                          <w:szCs w:val="18"/>
                        </w:rPr>
                        <w:t>教育改革施策と改革の阻害要因</w:t>
                      </w:r>
                    </w:p>
                  </w:txbxContent>
                </v:textbox>
                <w10:wrap type="square" anchorx="margin"/>
              </v:shape>
            </w:pict>
          </mc:Fallback>
        </mc:AlternateContent>
      </w:r>
      <w:r w:rsidR="007E771F" w:rsidRPr="007E771F">
        <w:rPr>
          <w:rFonts w:asciiTheme="minorEastAsia" w:hAnsiTheme="minorEastAsia" w:hint="eastAsia"/>
          <w:szCs w:val="18"/>
        </w:rPr>
        <w:t>一方，このような可視化のための仕組みは，適切な学習教育システムがあってはじめて，有効に機能する．上記の教育施策は，可視化の取り組みが成果を上げるために必須の教育改革である．</w:t>
      </w:r>
      <w:r w:rsidR="007E771F" w:rsidRPr="007E771F">
        <w:rPr>
          <w:rFonts w:asciiTheme="majorEastAsia" w:eastAsiaTheme="majorEastAsia" w:hAnsiTheme="majorEastAsia" w:hint="eastAsia"/>
          <w:szCs w:val="18"/>
        </w:rPr>
        <w:t>図-1</w:t>
      </w:r>
      <w:r w:rsidR="007E771F" w:rsidRPr="007E771F">
        <w:rPr>
          <w:rFonts w:asciiTheme="minorEastAsia" w:hAnsiTheme="minorEastAsia" w:hint="eastAsia"/>
          <w:szCs w:val="18"/>
        </w:rPr>
        <w:t>に示すように，クオーター制，科目数のスリム化，CAP制の厳格化，講義演習形式の授業の推進が，厳選された科目の主体的な</w:t>
      </w:r>
      <w:r>
        <w:rPr>
          <w:rFonts w:asciiTheme="minorEastAsia" w:hAnsiTheme="minorEastAsia" w:hint="eastAsia"/>
          <w:szCs w:val="18"/>
        </w:rPr>
        <w:t>学修</w:t>
      </w:r>
      <w:r w:rsidR="007E771F" w:rsidRPr="007E771F">
        <w:rPr>
          <w:rFonts w:asciiTheme="minorEastAsia" w:hAnsiTheme="minorEastAsia" w:hint="eastAsia"/>
          <w:szCs w:val="18"/>
        </w:rPr>
        <w:t>を可能とし，その結果として学修成果を向上させることにつながる．例えば，CAP制における上限履修単位数が少なくなると，学生の学修態度が変わらず，教員の教授スタイルに変化がなければ，結果として留年する学生が急増するという懸念はもっともである．しかし，教育改革とは，学生の</w:t>
      </w:r>
      <w:r>
        <w:rPr>
          <w:rFonts w:asciiTheme="minorEastAsia" w:hAnsiTheme="minorEastAsia" w:hint="eastAsia"/>
          <w:szCs w:val="18"/>
        </w:rPr>
        <w:t>学修</w:t>
      </w:r>
      <w:r w:rsidR="007E771F" w:rsidRPr="007E771F">
        <w:rPr>
          <w:rFonts w:asciiTheme="minorEastAsia" w:hAnsiTheme="minorEastAsia" w:hint="eastAsia"/>
          <w:szCs w:val="18"/>
        </w:rPr>
        <w:t>態度の変化，教員の教授のあり方の変革を目指すものである．そのような変化を前提としない考えは捨て去るべきである．</w:t>
      </w:r>
    </w:p>
    <w:p w14:paraId="7528B337" w14:textId="77777777" w:rsidR="007E771F" w:rsidRPr="007E771F" w:rsidRDefault="007E771F" w:rsidP="007E771F">
      <w:pPr>
        <w:spacing w:line="300" w:lineRule="exact"/>
        <w:ind w:firstLineChars="100" w:firstLine="229"/>
        <w:rPr>
          <w:rFonts w:asciiTheme="minorEastAsia" w:hAnsiTheme="minorEastAsia"/>
          <w:szCs w:val="18"/>
        </w:rPr>
      </w:pPr>
      <w:r w:rsidRPr="007E771F">
        <w:rPr>
          <w:rFonts w:asciiTheme="minorEastAsia" w:hAnsiTheme="minorEastAsia" w:hint="eastAsia"/>
          <w:szCs w:val="18"/>
        </w:rPr>
        <w:t>学修成果の可視化を推進するうえで，学習教育プロセスの可視化もまた重要である．</w:t>
      </w:r>
      <w:r w:rsidRPr="007E771F">
        <w:rPr>
          <w:rFonts w:asciiTheme="majorEastAsia" w:eastAsiaTheme="majorEastAsia" w:hAnsiTheme="majorEastAsia" w:hint="eastAsia"/>
          <w:szCs w:val="18"/>
        </w:rPr>
        <w:t>図-2</w:t>
      </w:r>
      <w:r w:rsidRPr="007E771F">
        <w:rPr>
          <w:rFonts w:asciiTheme="minorEastAsia" w:hAnsiTheme="minorEastAsia" w:hint="eastAsia"/>
          <w:szCs w:val="18"/>
        </w:rPr>
        <w:t>に示すように，完全シラバス及びコンテンツの開示とクラス公開は，担当する教員と履修する学生との閉じた空間である教室を，他の学生や教職員にオープンにする施策である．</w:t>
      </w:r>
    </w:p>
    <w:p w14:paraId="7528B338" w14:textId="77777777" w:rsidR="007E771F" w:rsidRPr="007E771F" w:rsidRDefault="007E771F" w:rsidP="007E771F">
      <w:pPr>
        <w:spacing w:line="300" w:lineRule="exact"/>
        <w:ind w:firstLineChars="100" w:firstLine="229"/>
        <w:rPr>
          <w:rFonts w:asciiTheme="minorEastAsia" w:hAnsiTheme="minorEastAsia"/>
          <w:szCs w:val="18"/>
        </w:rPr>
      </w:pPr>
      <w:r w:rsidRPr="007E771F">
        <w:rPr>
          <w:rFonts w:asciiTheme="minorEastAsia" w:hAnsiTheme="minorEastAsia" w:hint="eastAsia"/>
          <w:szCs w:val="18"/>
        </w:rPr>
        <w:t>成績評価結果および授業評価アンケート結果の開示と点検は，実施された授業・成績評価を評価するものである．成績評価は教員の役割ではあるが，その結果の説明責任もまた教員が有する．授業評価アンケートは履修学生により実施されていることから，この結果をどのように扱うべきかを決めるのは履修学生であって担当教員ではない．</w:t>
      </w:r>
    </w:p>
    <w:p w14:paraId="7528B339" w14:textId="77777777" w:rsidR="008B4984" w:rsidRDefault="007E771F" w:rsidP="007E771F">
      <w:pPr>
        <w:spacing w:line="300" w:lineRule="exact"/>
        <w:ind w:firstLineChars="100" w:firstLine="229"/>
        <w:rPr>
          <w:rFonts w:ascii="ＭＳ 明朝" w:eastAsia="ＭＳ 明朝" w:hAnsi="ＭＳ 明朝"/>
          <w:szCs w:val="18"/>
        </w:rPr>
      </w:pPr>
      <w:r w:rsidRPr="007E771F">
        <w:rPr>
          <w:rFonts w:asciiTheme="majorEastAsia" w:eastAsiaTheme="majorEastAsia" w:hAnsiTheme="majorEastAsia" w:hint="eastAsia"/>
          <w:szCs w:val="18"/>
        </w:rPr>
        <w:t>図-3</w:t>
      </w:r>
      <w:r w:rsidRPr="007E771F">
        <w:rPr>
          <w:rFonts w:asciiTheme="minorEastAsia" w:hAnsiTheme="minorEastAsia" w:hint="eastAsia"/>
          <w:szCs w:val="18"/>
        </w:rPr>
        <w:t>に今回の教育改革で第一に実施した全学教育目標，全学ディプロマポリシー策定の意味と，教育改革施策項目を示す．これらの改革を実現すことにより，本学の教育がこれまで以上に社会から評価され，有意な人材を世に送りだす大学として認知されてゆくことを願っている．しかし，それを阻む要因は多い．</w:t>
      </w:r>
      <w:r w:rsidRPr="007E771F">
        <w:rPr>
          <w:rFonts w:asciiTheme="majorEastAsia" w:eastAsiaTheme="majorEastAsia" w:hAnsiTheme="majorEastAsia" w:hint="eastAsia"/>
          <w:szCs w:val="18"/>
        </w:rPr>
        <w:t>図-3</w:t>
      </w:r>
      <w:r w:rsidRPr="007E771F">
        <w:rPr>
          <w:rFonts w:asciiTheme="minorEastAsia" w:hAnsiTheme="minorEastAsia" w:hint="eastAsia"/>
          <w:szCs w:val="18"/>
        </w:rPr>
        <w:t>中に示したように，「教員中心の学習教育システムへの信奉と施策無力化への動き」，「主体性・自律性が欠如した学生の意識」，「推進する教職員のアリバイ作りを目的化する意識」などをどのように乗り越えてゆくかが問われていると思う．</w:t>
      </w:r>
      <w:r w:rsidR="008B4984">
        <w:rPr>
          <w:rFonts w:ascii="ＭＳ 明朝" w:eastAsia="ＭＳ 明朝" w:hAnsi="ＭＳ 明朝"/>
          <w:szCs w:val="18"/>
        </w:rPr>
        <w:br w:type="page"/>
      </w:r>
    </w:p>
    <w:p w14:paraId="7528B33A" w14:textId="77777777" w:rsidR="008B4984" w:rsidRDefault="008B4984">
      <w:pPr>
        <w:rPr>
          <w:rFonts w:ascii="ＭＳ 明朝" w:eastAsia="ＭＳ 明朝" w:hAnsi="ＭＳ 明朝"/>
          <w:szCs w:val="18"/>
        </w:rPr>
      </w:pPr>
    </w:p>
    <w:sectPr w:rsidR="008B4984" w:rsidSect="003A4377">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134" w:header="567" w:footer="992" w:gutter="0"/>
      <w:cols w:space="425"/>
      <w:docGrid w:type="linesAndChars" w:linePitch="368" w:charSpace="101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F7D8" w14:textId="77777777" w:rsidR="00051319" w:rsidRDefault="00051319" w:rsidP="00D0499A">
      <w:r>
        <w:separator/>
      </w:r>
    </w:p>
  </w:endnote>
  <w:endnote w:type="continuationSeparator" w:id="0">
    <w:p w14:paraId="1D6CD479" w14:textId="77777777" w:rsidR="00051319" w:rsidRDefault="00051319" w:rsidP="00D0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389D" w14:textId="77777777" w:rsidR="001F0BA0" w:rsidRDefault="001F0B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A3D3" w14:textId="77777777" w:rsidR="001F0BA0" w:rsidRDefault="001F0B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743CC" w14:textId="77777777" w:rsidR="001F0BA0" w:rsidRDefault="001F0B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B20E7" w14:textId="77777777" w:rsidR="00051319" w:rsidRDefault="00051319" w:rsidP="00D0499A">
      <w:r>
        <w:separator/>
      </w:r>
    </w:p>
  </w:footnote>
  <w:footnote w:type="continuationSeparator" w:id="0">
    <w:p w14:paraId="50D8C5DF" w14:textId="77777777" w:rsidR="00051319" w:rsidRDefault="00051319" w:rsidP="00D0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E0323" w14:textId="77777777" w:rsidR="001F0BA0" w:rsidRDefault="001F0B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C0253" w14:textId="77777777" w:rsidR="001F0BA0" w:rsidRDefault="001F0BA0" w:rsidP="00B362E7">
    <w:pPr>
      <w:jc w:val="center"/>
      <w:rPr>
        <w:rFonts w:ascii="ＭＳ 明朝" w:eastAsia="ＭＳ 明朝" w:hAnsi="ＭＳ 明朝" w:hint="eastAsia"/>
        <w:sz w:val="20"/>
        <w:szCs w:val="20"/>
      </w:rPr>
    </w:pPr>
  </w:p>
  <w:bookmarkStart w:id="0" w:name="_GoBack" w:displacedByCustomXml="next"/>
  <w:bookmarkEnd w:id="0" w:displacedByCustomXml="next"/>
  <w:sdt>
    <w:sdtPr>
      <w:rPr>
        <w:rFonts w:ascii="ＭＳ 明朝" w:eastAsia="ＭＳ 明朝" w:hAnsi="ＭＳ 明朝" w:hint="eastAsia"/>
        <w:sz w:val="20"/>
        <w:szCs w:val="20"/>
      </w:rPr>
      <w:alias w:val="タイトル"/>
      <w:tag w:val=""/>
      <w:id w:val="1619491204"/>
      <w:placeholder>
        <w:docPart w:val="58CB4939D21C42E489A7570F9984761F"/>
      </w:placeholder>
      <w:dataBinding w:prefixMappings="xmlns:ns0='http://purl.org/dc/elements/1.1/' xmlns:ns1='http://schemas.openxmlformats.org/package/2006/metadata/core-properties' " w:xpath="/ns1:coreProperties[1]/ns0:title[1]" w:storeItemID="{6C3C8BC8-F283-45AE-878A-BAB7291924A1}"/>
      <w:text/>
    </w:sdtPr>
    <w:sdtEndPr/>
    <w:sdtContent>
      <w:p w14:paraId="7528B346" w14:textId="77777777" w:rsidR="00B362E7" w:rsidRPr="00B56C79" w:rsidRDefault="007E771F" w:rsidP="00B362E7">
        <w:pPr>
          <w:jc w:val="center"/>
          <w:rPr>
            <w:rFonts w:ascii="ＭＳ 明朝" w:eastAsia="ＭＳ 明朝" w:hAnsi="ＭＳ 明朝"/>
            <w:sz w:val="20"/>
            <w:szCs w:val="20"/>
          </w:rPr>
        </w:pPr>
        <w:r w:rsidRPr="007E771F">
          <w:rPr>
            <w:rFonts w:ascii="ＭＳ 明朝" w:eastAsia="ＭＳ 明朝" w:hAnsi="ＭＳ 明朝" w:hint="eastAsia"/>
            <w:sz w:val="20"/>
            <w:szCs w:val="20"/>
          </w:rPr>
          <w:t>学習教育プロセスと学修成果の可視化の推進について</w:t>
        </w:r>
      </w:p>
    </w:sdtContent>
  </w:sdt>
  <w:p w14:paraId="7528B347" w14:textId="77777777" w:rsidR="00B362E7" w:rsidRPr="00B362E7" w:rsidRDefault="00B362E7" w:rsidP="00B362E7">
    <w:pPr>
      <w:rPr>
        <w:sz w:val="8"/>
        <w:szCs w:val="8"/>
      </w:rPr>
    </w:pPr>
  </w:p>
  <w:tbl>
    <w:tblPr>
      <w:tblW w:w="0" w:type="auto"/>
      <w:tblBorders>
        <w:top w:val="single" w:sz="4" w:space="0" w:color="auto"/>
      </w:tblBorders>
      <w:tblCellMar>
        <w:left w:w="99" w:type="dxa"/>
        <w:right w:w="99" w:type="dxa"/>
      </w:tblCellMar>
      <w:tblLook w:val="0000" w:firstRow="0" w:lastRow="0" w:firstColumn="0" w:lastColumn="0" w:noHBand="0" w:noVBand="0"/>
    </w:tblPr>
    <w:tblGrid>
      <w:gridCol w:w="9605"/>
    </w:tblGrid>
    <w:tr w:rsidR="00283DB8" w:rsidRPr="00283DB8" w14:paraId="7528B349" w14:textId="77777777" w:rsidTr="00283DB8">
      <w:trPr>
        <w:trHeight w:val="100"/>
      </w:trPr>
      <w:tc>
        <w:tcPr>
          <w:tcW w:w="9605" w:type="dxa"/>
        </w:tcPr>
        <w:p w14:paraId="7528B348" w14:textId="77777777" w:rsidR="00283DB8" w:rsidRPr="00283DB8" w:rsidRDefault="00283DB8" w:rsidP="00102C18">
          <w:pPr>
            <w:pStyle w:val="a3"/>
            <w:tabs>
              <w:tab w:val="clear" w:pos="4252"/>
              <w:tab w:val="clear" w:pos="8504"/>
              <w:tab w:val="left" w:pos="1549"/>
            </w:tabs>
            <w:jc w:val="center"/>
            <w:rPr>
              <w:rFonts w:ascii="ＭＳ 明朝" w:eastAsia="ＭＳ 明朝" w:hAnsi="ＭＳ 明朝"/>
              <w:sz w:val="8"/>
              <w:szCs w:val="8"/>
            </w:rPr>
          </w:pPr>
        </w:p>
      </w:tc>
    </w:tr>
  </w:tbl>
  <w:p w14:paraId="7528B34A" w14:textId="77777777" w:rsidR="00283DB8" w:rsidRPr="00283DB8" w:rsidRDefault="00283DB8" w:rsidP="00283DB8">
    <w:pPr>
      <w:pStyle w:val="a3"/>
      <w:tabs>
        <w:tab w:val="clear" w:pos="4252"/>
        <w:tab w:val="clear" w:pos="8504"/>
        <w:tab w:val="left" w:pos="1549"/>
      </w:tabs>
      <w:rPr>
        <w:rFonts w:ascii="ＭＳ 明朝" w:eastAsia="ＭＳ 明朝" w:hAnsi="ＭＳ 明朝"/>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9E8F" w14:textId="77777777" w:rsidR="001F0BA0" w:rsidRDefault="001F0B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477A"/>
    <w:multiLevelType w:val="hybridMultilevel"/>
    <w:tmpl w:val="9B3A91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E5FF1"/>
    <w:multiLevelType w:val="hybridMultilevel"/>
    <w:tmpl w:val="F4621D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7B4B44"/>
    <w:multiLevelType w:val="hybridMultilevel"/>
    <w:tmpl w:val="8D4410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3A105D"/>
    <w:multiLevelType w:val="hybridMultilevel"/>
    <w:tmpl w:val="4FCCDF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B0F00"/>
    <w:multiLevelType w:val="hybridMultilevel"/>
    <w:tmpl w:val="667AC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1D6F69"/>
    <w:multiLevelType w:val="hybridMultilevel"/>
    <w:tmpl w:val="25BE476C"/>
    <w:lvl w:ilvl="0" w:tplc="18F85012">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E90BD6"/>
    <w:multiLevelType w:val="hybridMultilevel"/>
    <w:tmpl w:val="97366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FA80B68"/>
    <w:multiLevelType w:val="hybridMultilevel"/>
    <w:tmpl w:val="9CF6F0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AA9115A"/>
    <w:multiLevelType w:val="hybridMultilevel"/>
    <w:tmpl w:val="B57026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B44CE0"/>
    <w:multiLevelType w:val="hybridMultilevel"/>
    <w:tmpl w:val="F5E62A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6D923BE"/>
    <w:multiLevelType w:val="hybridMultilevel"/>
    <w:tmpl w:val="C41627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6"/>
  </w:num>
  <w:num w:numId="4">
    <w:abstractNumId w:val="10"/>
  </w:num>
  <w:num w:numId="5">
    <w:abstractNumId w:val="4"/>
  </w:num>
  <w:num w:numId="6">
    <w:abstractNumId w:val="2"/>
  </w:num>
  <w:num w:numId="7">
    <w:abstractNumId w:val="0"/>
  </w:num>
  <w:num w:numId="8">
    <w:abstractNumId w:val="1"/>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2C"/>
    <w:rsid w:val="000073B3"/>
    <w:rsid w:val="00051319"/>
    <w:rsid w:val="00102C18"/>
    <w:rsid w:val="00171333"/>
    <w:rsid w:val="0017706C"/>
    <w:rsid w:val="001F0BA0"/>
    <w:rsid w:val="00283DB8"/>
    <w:rsid w:val="002C350D"/>
    <w:rsid w:val="003310FE"/>
    <w:rsid w:val="00382F43"/>
    <w:rsid w:val="003855B8"/>
    <w:rsid w:val="003A4377"/>
    <w:rsid w:val="0048292C"/>
    <w:rsid w:val="004A6830"/>
    <w:rsid w:val="004C56BD"/>
    <w:rsid w:val="004E00A8"/>
    <w:rsid w:val="005572AA"/>
    <w:rsid w:val="005A3570"/>
    <w:rsid w:val="007964D7"/>
    <w:rsid w:val="007B61A4"/>
    <w:rsid w:val="007E771F"/>
    <w:rsid w:val="008B4984"/>
    <w:rsid w:val="008F5341"/>
    <w:rsid w:val="00910C90"/>
    <w:rsid w:val="009E5D81"/>
    <w:rsid w:val="00A479F2"/>
    <w:rsid w:val="00AF3A9C"/>
    <w:rsid w:val="00B0703C"/>
    <w:rsid w:val="00B20DD9"/>
    <w:rsid w:val="00B362E7"/>
    <w:rsid w:val="00B56C79"/>
    <w:rsid w:val="00C6681C"/>
    <w:rsid w:val="00CD17AD"/>
    <w:rsid w:val="00D0499A"/>
    <w:rsid w:val="00D915BF"/>
    <w:rsid w:val="00DE6335"/>
    <w:rsid w:val="00F3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8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9A"/>
    <w:pPr>
      <w:widowControl w:val="0"/>
      <w:jc w:val="both"/>
    </w:pPr>
    <w:rPr>
      <w:sz w:val="18"/>
    </w:rPr>
  </w:style>
  <w:style w:type="paragraph" w:styleId="1">
    <w:name w:val="heading 1"/>
    <w:basedOn w:val="a"/>
    <w:next w:val="a"/>
    <w:link w:val="10"/>
    <w:uiPriority w:val="9"/>
    <w:qFormat/>
    <w:rsid w:val="00B070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99A"/>
    <w:pPr>
      <w:tabs>
        <w:tab w:val="center" w:pos="4252"/>
        <w:tab w:val="right" w:pos="8504"/>
      </w:tabs>
      <w:snapToGrid w:val="0"/>
    </w:pPr>
  </w:style>
  <w:style w:type="character" w:customStyle="1" w:styleId="a4">
    <w:name w:val="ヘッダー (文字)"/>
    <w:basedOn w:val="a0"/>
    <w:link w:val="a3"/>
    <w:uiPriority w:val="99"/>
    <w:rsid w:val="00D0499A"/>
  </w:style>
  <w:style w:type="paragraph" w:styleId="a5">
    <w:name w:val="footer"/>
    <w:basedOn w:val="a"/>
    <w:link w:val="a6"/>
    <w:uiPriority w:val="99"/>
    <w:unhideWhenUsed/>
    <w:rsid w:val="00D0499A"/>
    <w:pPr>
      <w:tabs>
        <w:tab w:val="center" w:pos="4252"/>
        <w:tab w:val="right" w:pos="8504"/>
      </w:tabs>
      <w:snapToGrid w:val="0"/>
    </w:pPr>
  </w:style>
  <w:style w:type="character" w:customStyle="1" w:styleId="a6">
    <w:name w:val="フッター (文字)"/>
    <w:basedOn w:val="a0"/>
    <w:link w:val="a5"/>
    <w:uiPriority w:val="99"/>
    <w:rsid w:val="00D0499A"/>
  </w:style>
  <w:style w:type="character" w:styleId="a7">
    <w:name w:val="Placeholder Text"/>
    <w:basedOn w:val="a0"/>
    <w:uiPriority w:val="99"/>
    <w:semiHidden/>
    <w:rsid w:val="00102C18"/>
    <w:rPr>
      <w:color w:val="808080"/>
    </w:rPr>
  </w:style>
  <w:style w:type="character" w:customStyle="1" w:styleId="10">
    <w:name w:val="見出し 1 (文字)"/>
    <w:basedOn w:val="a0"/>
    <w:link w:val="1"/>
    <w:uiPriority w:val="9"/>
    <w:rsid w:val="00B0703C"/>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3A4377"/>
    <w:rPr>
      <w:rFonts w:asciiTheme="majorHAnsi" w:eastAsiaTheme="majorEastAsia" w:hAnsiTheme="majorHAnsi" w:cstheme="majorBidi"/>
      <w:szCs w:val="18"/>
    </w:rPr>
  </w:style>
  <w:style w:type="character" w:customStyle="1" w:styleId="a9">
    <w:name w:val="吹き出し (文字)"/>
    <w:basedOn w:val="a0"/>
    <w:link w:val="a8"/>
    <w:uiPriority w:val="99"/>
    <w:semiHidden/>
    <w:rsid w:val="003A4377"/>
    <w:rPr>
      <w:rFonts w:asciiTheme="majorHAnsi" w:eastAsiaTheme="majorEastAsia" w:hAnsiTheme="majorHAnsi" w:cstheme="majorBidi"/>
      <w:sz w:val="18"/>
      <w:szCs w:val="18"/>
    </w:rPr>
  </w:style>
  <w:style w:type="paragraph" w:styleId="aa">
    <w:name w:val="List Paragraph"/>
    <w:basedOn w:val="a"/>
    <w:uiPriority w:val="34"/>
    <w:qFormat/>
    <w:rsid w:val="007E771F"/>
    <w:pPr>
      <w:ind w:leftChars="400" w:left="84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9A"/>
    <w:pPr>
      <w:widowControl w:val="0"/>
      <w:jc w:val="both"/>
    </w:pPr>
    <w:rPr>
      <w:sz w:val="18"/>
    </w:rPr>
  </w:style>
  <w:style w:type="paragraph" w:styleId="1">
    <w:name w:val="heading 1"/>
    <w:basedOn w:val="a"/>
    <w:next w:val="a"/>
    <w:link w:val="10"/>
    <w:uiPriority w:val="9"/>
    <w:qFormat/>
    <w:rsid w:val="00B070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99A"/>
    <w:pPr>
      <w:tabs>
        <w:tab w:val="center" w:pos="4252"/>
        <w:tab w:val="right" w:pos="8504"/>
      </w:tabs>
      <w:snapToGrid w:val="0"/>
    </w:pPr>
  </w:style>
  <w:style w:type="character" w:customStyle="1" w:styleId="a4">
    <w:name w:val="ヘッダー (文字)"/>
    <w:basedOn w:val="a0"/>
    <w:link w:val="a3"/>
    <w:uiPriority w:val="99"/>
    <w:rsid w:val="00D0499A"/>
  </w:style>
  <w:style w:type="paragraph" w:styleId="a5">
    <w:name w:val="footer"/>
    <w:basedOn w:val="a"/>
    <w:link w:val="a6"/>
    <w:uiPriority w:val="99"/>
    <w:unhideWhenUsed/>
    <w:rsid w:val="00D0499A"/>
    <w:pPr>
      <w:tabs>
        <w:tab w:val="center" w:pos="4252"/>
        <w:tab w:val="right" w:pos="8504"/>
      </w:tabs>
      <w:snapToGrid w:val="0"/>
    </w:pPr>
  </w:style>
  <w:style w:type="character" w:customStyle="1" w:styleId="a6">
    <w:name w:val="フッター (文字)"/>
    <w:basedOn w:val="a0"/>
    <w:link w:val="a5"/>
    <w:uiPriority w:val="99"/>
    <w:rsid w:val="00D0499A"/>
  </w:style>
  <w:style w:type="character" w:styleId="a7">
    <w:name w:val="Placeholder Text"/>
    <w:basedOn w:val="a0"/>
    <w:uiPriority w:val="99"/>
    <w:semiHidden/>
    <w:rsid w:val="00102C18"/>
    <w:rPr>
      <w:color w:val="808080"/>
    </w:rPr>
  </w:style>
  <w:style w:type="character" w:customStyle="1" w:styleId="10">
    <w:name w:val="見出し 1 (文字)"/>
    <w:basedOn w:val="a0"/>
    <w:link w:val="1"/>
    <w:uiPriority w:val="9"/>
    <w:rsid w:val="00B0703C"/>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3A4377"/>
    <w:rPr>
      <w:rFonts w:asciiTheme="majorHAnsi" w:eastAsiaTheme="majorEastAsia" w:hAnsiTheme="majorHAnsi" w:cstheme="majorBidi"/>
      <w:szCs w:val="18"/>
    </w:rPr>
  </w:style>
  <w:style w:type="character" w:customStyle="1" w:styleId="a9">
    <w:name w:val="吹き出し (文字)"/>
    <w:basedOn w:val="a0"/>
    <w:link w:val="a8"/>
    <w:uiPriority w:val="99"/>
    <w:semiHidden/>
    <w:rsid w:val="003A4377"/>
    <w:rPr>
      <w:rFonts w:asciiTheme="majorHAnsi" w:eastAsiaTheme="majorEastAsia" w:hAnsiTheme="majorHAnsi" w:cstheme="majorBidi"/>
      <w:sz w:val="18"/>
      <w:szCs w:val="18"/>
    </w:rPr>
  </w:style>
  <w:style w:type="paragraph" w:styleId="aa">
    <w:name w:val="List Paragraph"/>
    <w:basedOn w:val="a"/>
    <w:uiPriority w:val="34"/>
    <w:qFormat/>
    <w:rsid w:val="007E771F"/>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B4939D21C42E489A7570F9984761F"/>
        <w:category>
          <w:name w:val="全般"/>
          <w:gallery w:val="placeholder"/>
        </w:category>
        <w:types>
          <w:type w:val="bbPlcHdr"/>
        </w:types>
        <w:behaviors>
          <w:behavior w:val="content"/>
        </w:behaviors>
        <w:guid w:val="{33881DC9-63D0-42FE-BAC3-74D4B0690DCE}"/>
      </w:docPartPr>
      <w:docPartBody>
        <w:p w:rsidR="00A15A87" w:rsidRDefault="006003CE" w:rsidP="006003CE">
          <w:pPr>
            <w:pStyle w:val="58CB4939D21C42E489A7570F9984761F"/>
          </w:pPr>
          <w:r w:rsidRPr="00285012">
            <w:rPr>
              <w:rStyle w:val="a3"/>
              <w:rFonts w:hint="eastAsia"/>
            </w:rPr>
            <w:t>[</w:t>
          </w:r>
          <w:r w:rsidRPr="00285012">
            <w:rPr>
              <w:rStyle w:val="a3"/>
              <w:rFonts w:hint="eastAsia"/>
            </w:rPr>
            <w:t>タイトル</w:t>
          </w:r>
          <w:r w:rsidRPr="00285012">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0D"/>
    <w:rsid w:val="00126902"/>
    <w:rsid w:val="006003CE"/>
    <w:rsid w:val="00610D48"/>
    <w:rsid w:val="007418A3"/>
    <w:rsid w:val="008307AE"/>
    <w:rsid w:val="008D0928"/>
    <w:rsid w:val="009948F2"/>
    <w:rsid w:val="009B3D0E"/>
    <w:rsid w:val="00A15A87"/>
    <w:rsid w:val="00AD5E19"/>
    <w:rsid w:val="00CD260D"/>
    <w:rsid w:val="00FA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03CE"/>
    <w:rPr>
      <w:color w:val="808080"/>
    </w:rPr>
  </w:style>
  <w:style w:type="paragraph" w:customStyle="1" w:styleId="8240BA2387DB45BAB7024E8ACFF51503">
    <w:name w:val="8240BA2387DB45BAB7024E8ACFF51503"/>
    <w:rsid w:val="00CD260D"/>
    <w:pPr>
      <w:widowControl w:val="0"/>
      <w:jc w:val="both"/>
    </w:pPr>
  </w:style>
  <w:style w:type="paragraph" w:customStyle="1" w:styleId="B5B7D06DBB6C45648502902B8C515649">
    <w:name w:val="B5B7D06DBB6C45648502902B8C515649"/>
    <w:rsid w:val="00CD260D"/>
    <w:pPr>
      <w:widowControl w:val="0"/>
      <w:jc w:val="both"/>
    </w:pPr>
  </w:style>
  <w:style w:type="paragraph" w:customStyle="1" w:styleId="58CB4939D21C42E489A7570F9984761F">
    <w:name w:val="58CB4939D21C42E489A7570F9984761F"/>
    <w:rsid w:val="006003C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03CE"/>
    <w:rPr>
      <w:color w:val="808080"/>
    </w:rPr>
  </w:style>
  <w:style w:type="paragraph" w:customStyle="1" w:styleId="8240BA2387DB45BAB7024E8ACFF51503">
    <w:name w:val="8240BA2387DB45BAB7024E8ACFF51503"/>
    <w:rsid w:val="00CD260D"/>
    <w:pPr>
      <w:widowControl w:val="0"/>
      <w:jc w:val="both"/>
    </w:pPr>
  </w:style>
  <w:style w:type="paragraph" w:customStyle="1" w:styleId="B5B7D06DBB6C45648502902B8C515649">
    <w:name w:val="B5B7D06DBB6C45648502902B8C515649"/>
    <w:rsid w:val="00CD260D"/>
    <w:pPr>
      <w:widowControl w:val="0"/>
      <w:jc w:val="both"/>
    </w:pPr>
  </w:style>
  <w:style w:type="paragraph" w:customStyle="1" w:styleId="58CB4939D21C42E489A7570F9984761F">
    <w:name w:val="58CB4939D21C42E489A7570F9984761F"/>
    <w:rsid w:val="006003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8F9B-D35B-4955-A35F-F181187B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学習教育プロセスと学修成果の可視化の推進について</vt:lpstr>
    </vt:vector>
  </TitlesOfParts>
  <Company>東京都市大学</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学習教育プロセスと学修成果の可視化の推進について</dc:title>
  <dc:creator>netbootadmin</dc:creator>
  <cp:lastModifiedBy>Masaru MINAGAWA</cp:lastModifiedBy>
  <cp:revision>5</cp:revision>
  <cp:lastPrinted>2019-02-14T04:13:00Z</cp:lastPrinted>
  <dcterms:created xsi:type="dcterms:W3CDTF">2019-02-14T09:06:00Z</dcterms:created>
  <dcterms:modified xsi:type="dcterms:W3CDTF">2023-03-26T08:38:00Z</dcterms:modified>
</cp:coreProperties>
</file>