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28B2FA" w14:textId="2BFD197F" w:rsidR="00B0703C" w:rsidRDefault="00A94486" w:rsidP="00B20DD9">
      <w:pPr>
        <w:jc w:val="center"/>
        <w:rPr>
          <w:rFonts w:ascii="ＭＳ 明朝" w:eastAsia="ＭＳ 明朝" w:hAnsi="ＭＳ 明朝"/>
          <w:szCs w:val="18"/>
        </w:rPr>
      </w:pPr>
      <w:bookmarkStart w:id="0" w:name="_Hlk30658388"/>
      <w:r>
        <w:rPr>
          <w:rFonts w:ascii="ＭＳ 明朝" w:eastAsia="ＭＳ 明朝" w:hAnsi="ＭＳ 明朝" w:hint="eastAsia"/>
          <w:b/>
          <w:sz w:val="24"/>
          <w:szCs w:val="24"/>
        </w:rPr>
        <w:t>高等教育グランドデザインと本学の教育改革の今後</w:t>
      </w:r>
    </w:p>
    <w:bookmarkEnd w:id="0"/>
    <w:p w14:paraId="7528B2FB" w14:textId="77777777" w:rsidR="00102C18" w:rsidRDefault="007E771F" w:rsidP="007E771F">
      <w:pPr>
        <w:jc w:val="center"/>
        <w:rPr>
          <w:rFonts w:ascii="ＭＳ 明朝" w:eastAsia="ＭＳ 明朝" w:hAnsi="ＭＳ 明朝" w:cstheme="majorBidi"/>
          <w:sz w:val="22"/>
        </w:rPr>
      </w:pPr>
      <w:r w:rsidRPr="007E771F">
        <w:rPr>
          <w:rFonts w:ascii="ＭＳ 明朝" w:eastAsia="ＭＳ 明朝" w:hAnsi="ＭＳ 明朝" w:cstheme="majorBidi" w:hint="eastAsia"/>
          <w:sz w:val="22"/>
        </w:rPr>
        <w:t>副学長（教育担当）</w:t>
      </w:r>
      <w:r w:rsidR="00A479F2">
        <w:rPr>
          <w:rFonts w:ascii="ＭＳ 明朝" w:eastAsia="ＭＳ 明朝" w:hAnsi="ＭＳ 明朝" w:cstheme="majorBidi" w:hint="eastAsia"/>
          <w:sz w:val="22"/>
        </w:rPr>
        <w:t>・教務委員長</w:t>
      </w:r>
      <w:r w:rsidRPr="007E771F">
        <w:rPr>
          <w:rFonts w:ascii="ＭＳ 明朝" w:eastAsia="ＭＳ 明朝" w:hAnsi="ＭＳ 明朝" w:cstheme="majorBidi" w:hint="eastAsia"/>
          <w:sz w:val="22"/>
        </w:rPr>
        <w:t xml:space="preserve">　皆川　勝</w:t>
      </w:r>
    </w:p>
    <w:p w14:paraId="7528B2FC" w14:textId="77777777" w:rsidR="007E771F" w:rsidRDefault="007E771F" w:rsidP="007E771F">
      <w:pPr>
        <w:jc w:val="center"/>
        <w:rPr>
          <w:rFonts w:ascii="ＭＳ 明朝" w:eastAsia="ＭＳ 明朝" w:hAnsi="ＭＳ 明朝"/>
          <w:szCs w:val="18"/>
        </w:rPr>
      </w:pPr>
    </w:p>
    <w:p w14:paraId="7528B2FD" w14:textId="5EB1C916" w:rsidR="007E771F" w:rsidRPr="007E771F" w:rsidRDefault="007E771F" w:rsidP="007E771F">
      <w:pPr>
        <w:ind w:firstLineChars="100" w:firstLine="229"/>
        <w:rPr>
          <w:rFonts w:asciiTheme="minorEastAsia" w:hAnsiTheme="minorEastAsia"/>
          <w:szCs w:val="18"/>
        </w:rPr>
      </w:pPr>
      <w:r w:rsidRPr="007E771F">
        <w:rPr>
          <w:rFonts w:asciiTheme="minorEastAsia" w:hAnsiTheme="minorEastAsia" w:hint="eastAsia"/>
          <w:szCs w:val="18"/>
        </w:rPr>
        <w:t>「教育施策に関する基本方針2020」(11月27日付)</w:t>
      </w:r>
      <w:r w:rsidR="00336467">
        <w:rPr>
          <w:rFonts w:asciiTheme="minorEastAsia" w:hAnsiTheme="minorEastAsia" w:hint="eastAsia"/>
          <w:szCs w:val="18"/>
        </w:rPr>
        <w:t>に続いて，</w:t>
      </w:r>
      <w:r w:rsidR="00D519E8" w:rsidRPr="00D519E8">
        <w:rPr>
          <w:rFonts w:asciiTheme="minorEastAsia" w:hAnsiTheme="minorEastAsia" w:hint="eastAsia"/>
          <w:szCs w:val="18"/>
        </w:rPr>
        <w:t>学修の多様化、成績評価の基準化・厳格化、教育内容の評価点検の観点から、2019年11月18日の大学協議会において以下の施策が基本方針として承認された．これを「教育施策基本方針2020-2」と呼び，今後，実現のための具体的な方策を詰めてゆくこととなる．</w:t>
      </w:r>
      <w:r w:rsidRPr="007E771F">
        <w:rPr>
          <w:rFonts w:asciiTheme="minorEastAsia" w:hAnsiTheme="minorEastAsia" w:hint="eastAsia"/>
          <w:szCs w:val="18"/>
        </w:rPr>
        <w:t>本稿では，</w:t>
      </w:r>
      <w:r w:rsidR="00D519E8">
        <w:rPr>
          <w:rFonts w:asciiTheme="minorEastAsia" w:hAnsiTheme="minorEastAsia" w:hint="eastAsia"/>
          <w:szCs w:val="18"/>
        </w:rPr>
        <w:t>そ</w:t>
      </w:r>
      <w:r w:rsidRPr="007E771F">
        <w:rPr>
          <w:rFonts w:asciiTheme="minorEastAsia" w:hAnsiTheme="minorEastAsia" w:hint="eastAsia"/>
          <w:szCs w:val="18"/>
        </w:rPr>
        <w:t>の概要を改めて整理すると共に，</w:t>
      </w:r>
      <w:r w:rsidR="00A94486">
        <w:rPr>
          <w:rFonts w:asciiTheme="minorEastAsia" w:hAnsiTheme="minorEastAsia" w:hint="eastAsia"/>
          <w:szCs w:val="18"/>
        </w:rPr>
        <w:t>高等教育グランドデザイン2040を見据えた本学の教育改革の</w:t>
      </w:r>
      <w:r w:rsidRPr="007E771F">
        <w:rPr>
          <w:rFonts w:asciiTheme="minorEastAsia" w:hAnsiTheme="minorEastAsia" w:hint="eastAsia"/>
          <w:szCs w:val="18"/>
        </w:rPr>
        <w:t>推進に関する小職の考えを述べることとする．</w:t>
      </w:r>
    </w:p>
    <w:p w14:paraId="7528B2FE" w14:textId="77777777" w:rsidR="007E771F" w:rsidRPr="00241FB9" w:rsidRDefault="007E771F" w:rsidP="007E771F">
      <w:pPr>
        <w:rPr>
          <w:rFonts w:asciiTheme="minorEastAsia" w:hAnsiTheme="minorEastAsia"/>
          <w:szCs w:val="18"/>
        </w:rPr>
      </w:pPr>
      <w:r>
        <w:rPr>
          <w:rFonts w:asciiTheme="minorEastAsia" w:hAnsiTheme="minorEastAsia"/>
          <w:noProof/>
          <w:szCs w:val="18"/>
        </w:rPr>
        <mc:AlternateContent>
          <mc:Choice Requires="wps">
            <w:drawing>
              <wp:anchor distT="0" distB="0" distL="114300" distR="114300" simplePos="0" relativeHeight="251659264" behindDoc="0" locked="0" layoutInCell="1" allowOverlap="1" wp14:anchorId="7528B33B" wp14:editId="525A6B49">
                <wp:simplePos x="0" y="0"/>
                <wp:positionH relativeFrom="column">
                  <wp:posOffset>-85090</wp:posOffset>
                </wp:positionH>
                <wp:positionV relativeFrom="paragraph">
                  <wp:posOffset>215900</wp:posOffset>
                </wp:positionV>
                <wp:extent cx="6223000" cy="6553200"/>
                <wp:effectExtent l="0" t="0" r="25400" b="19050"/>
                <wp:wrapNone/>
                <wp:docPr id="5" name="正方形/長方形 5"/>
                <wp:cNvGraphicFramePr/>
                <a:graphic xmlns:a="http://schemas.openxmlformats.org/drawingml/2006/main">
                  <a:graphicData uri="http://schemas.microsoft.com/office/word/2010/wordprocessingShape">
                    <wps:wsp>
                      <wps:cNvSpPr/>
                      <wps:spPr>
                        <a:xfrm>
                          <a:off x="0" y="0"/>
                          <a:ext cx="6223000" cy="65532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3D4D4C" id="正方形/長方形 5" o:spid="_x0000_s1026" style="position:absolute;left:0;text-align:left;margin-left:-6.7pt;margin-top:17pt;width:490pt;height: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" filled="f" strokecolor="black [3200]" strokeweight="1pt"/>
            </w:pict>
          </mc:Fallback>
        </mc:AlternateContent>
      </w:r>
    </w:p>
    <w:p w14:paraId="32157AD1" w14:textId="78A4B828" w:rsidR="00985BEE" w:rsidRPr="00985BEE" w:rsidRDefault="007E771F" w:rsidP="00985BEE">
      <w:pPr>
        <w:rPr>
          <w:rFonts w:asciiTheme="majorEastAsia" w:eastAsiaTheme="majorEastAsia" w:hAnsiTheme="majorEastAsia"/>
          <w:szCs w:val="18"/>
        </w:rPr>
      </w:pPr>
      <w:r w:rsidRPr="00EE45BF">
        <w:rPr>
          <w:rFonts w:asciiTheme="majorEastAsia" w:eastAsiaTheme="majorEastAsia" w:hAnsiTheme="majorEastAsia" w:hint="eastAsia"/>
          <w:szCs w:val="18"/>
        </w:rPr>
        <w:t xml:space="preserve"> </w:t>
      </w:r>
      <w:r w:rsidR="00985BEE">
        <w:rPr>
          <w:rFonts w:asciiTheme="majorEastAsia" w:eastAsiaTheme="majorEastAsia" w:hAnsiTheme="majorEastAsia" w:hint="eastAsia"/>
          <w:szCs w:val="18"/>
        </w:rPr>
        <w:t>「</w:t>
      </w:r>
      <w:r w:rsidR="00985BEE" w:rsidRPr="00985BEE">
        <w:rPr>
          <w:rFonts w:asciiTheme="majorEastAsia" w:eastAsiaTheme="majorEastAsia" w:hAnsiTheme="majorEastAsia" w:hint="eastAsia"/>
          <w:szCs w:val="18"/>
        </w:rPr>
        <w:t>教育施策基本方針2020-2</w:t>
      </w:r>
      <w:r w:rsidR="00985BEE">
        <w:rPr>
          <w:rFonts w:asciiTheme="majorEastAsia" w:eastAsiaTheme="majorEastAsia" w:hAnsiTheme="majorEastAsia" w:hint="eastAsia"/>
          <w:szCs w:val="18"/>
        </w:rPr>
        <w:t>」</w:t>
      </w:r>
      <w:r w:rsidR="00985BEE" w:rsidRPr="00985BEE">
        <w:rPr>
          <w:rFonts w:asciiTheme="majorEastAsia" w:eastAsiaTheme="majorEastAsia" w:hAnsiTheme="majorEastAsia" w:hint="eastAsia"/>
          <w:szCs w:val="18"/>
        </w:rPr>
        <w:t>（2019年11月18日</w:t>
      </w:r>
      <w:r w:rsidR="00985BEE">
        <w:rPr>
          <w:rFonts w:asciiTheme="majorEastAsia" w:eastAsiaTheme="majorEastAsia" w:hAnsiTheme="majorEastAsia" w:hint="eastAsia"/>
          <w:szCs w:val="18"/>
        </w:rPr>
        <w:t>開催</w:t>
      </w:r>
      <w:r w:rsidR="00985BEE" w:rsidRPr="00985BEE">
        <w:rPr>
          <w:rFonts w:asciiTheme="majorEastAsia" w:eastAsiaTheme="majorEastAsia" w:hAnsiTheme="majorEastAsia" w:hint="eastAsia"/>
          <w:szCs w:val="18"/>
        </w:rPr>
        <w:t>の大学協議会</w:t>
      </w:r>
      <w:r w:rsidR="00985BEE">
        <w:rPr>
          <w:rFonts w:asciiTheme="majorEastAsia" w:eastAsiaTheme="majorEastAsia" w:hAnsiTheme="majorEastAsia" w:hint="eastAsia"/>
          <w:szCs w:val="18"/>
        </w:rPr>
        <w:t>にて</w:t>
      </w:r>
      <w:r w:rsidR="00985BEE" w:rsidRPr="00985BEE">
        <w:rPr>
          <w:rFonts w:asciiTheme="majorEastAsia" w:eastAsiaTheme="majorEastAsia" w:hAnsiTheme="majorEastAsia" w:hint="eastAsia"/>
          <w:szCs w:val="18"/>
        </w:rPr>
        <w:t>決定）</w:t>
      </w:r>
    </w:p>
    <w:p w14:paraId="7D156A6E" w14:textId="77777777" w:rsidR="00985BEE" w:rsidRPr="00985BEE" w:rsidRDefault="00985BEE" w:rsidP="00985BEE">
      <w:pPr>
        <w:rPr>
          <w:rFonts w:asciiTheme="minorEastAsia" w:hAnsiTheme="minorEastAsia"/>
          <w:szCs w:val="18"/>
        </w:rPr>
      </w:pPr>
      <w:r w:rsidRPr="00985BEE">
        <w:rPr>
          <w:rFonts w:asciiTheme="minorEastAsia" w:hAnsiTheme="minorEastAsia" w:hint="eastAsia"/>
          <w:szCs w:val="18"/>
        </w:rPr>
        <w:t>１．副専攻制度新設</w:t>
      </w:r>
    </w:p>
    <w:p w14:paraId="39A0FB3E" w14:textId="77777777" w:rsidR="00985BEE" w:rsidRPr="00985BEE" w:rsidRDefault="00985BEE" w:rsidP="00985BEE">
      <w:pPr>
        <w:rPr>
          <w:rFonts w:asciiTheme="minorEastAsia" w:hAnsiTheme="minorEastAsia"/>
          <w:szCs w:val="18"/>
        </w:rPr>
      </w:pPr>
      <w:r w:rsidRPr="00985BEE">
        <w:rPr>
          <w:rFonts w:asciiTheme="minorEastAsia" w:hAnsiTheme="minorEastAsia" w:hint="eastAsia"/>
          <w:szCs w:val="18"/>
        </w:rPr>
        <w:t>２．成績評価について</w:t>
      </w:r>
    </w:p>
    <w:p w14:paraId="6FD347F9" w14:textId="77777777" w:rsidR="00985BEE" w:rsidRPr="00985BEE" w:rsidRDefault="00985BEE" w:rsidP="00985BEE">
      <w:pPr>
        <w:rPr>
          <w:rFonts w:asciiTheme="minorEastAsia" w:hAnsiTheme="minorEastAsia"/>
          <w:szCs w:val="18"/>
        </w:rPr>
      </w:pPr>
      <w:r w:rsidRPr="00985BEE">
        <w:rPr>
          <w:rFonts w:asciiTheme="minorEastAsia" w:hAnsiTheme="minorEastAsia" w:hint="eastAsia"/>
          <w:szCs w:val="18"/>
        </w:rPr>
        <w:t>３．成績の基準化</w:t>
      </w:r>
    </w:p>
    <w:p w14:paraId="177CFC1E" w14:textId="77777777" w:rsidR="00985BEE" w:rsidRPr="00985BEE" w:rsidRDefault="00985BEE" w:rsidP="00985BEE">
      <w:pPr>
        <w:rPr>
          <w:rFonts w:asciiTheme="minorEastAsia" w:hAnsiTheme="minorEastAsia"/>
          <w:szCs w:val="18"/>
        </w:rPr>
      </w:pPr>
      <w:r w:rsidRPr="00985BEE">
        <w:rPr>
          <w:rFonts w:asciiTheme="minorEastAsia" w:hAnsiTheme="minorEastAsia" w:hint="eastAsia"/>
          <w:szCs w:val="18"/>
        </w:rPr>
        <w:t>４．GPA算出方法の変更</w:t>
      </w:r>
    </w:p>
    <w:p w14:paraId="30E0CAAA" w14:textId="77777777" w:rsidR="00985BEE" w:rsidRPr="00985BEE" w:rsidRDefault="00985BEE" w:rsidP="00985BEE">
      <w:pPr>
        <w:pStyle w:val="aa"/>
        <w:numPr>
          <w:ilvl w:val="0"/>
          <w:numId w:val="12"/>
        </w:numPr>
        <w:ind w:leftChars="0"/>
        <w:rPr>
          <w:rFonts w:asciiTheme="minorEastAsia" w:hAnsiTheme="minorEastAsia"/>
          <w:szCs w:val="18"/>
        </w:rPr>
      </w:pPr>
      <w:r w:rsidRPr="00985BEE">
        <w:rPr>
          <w:rFonts w:asciiTheme="minorEastAsia" w:hAnsiTheme="minorEastAsia" w:hint="eastAsia"/>
          <w:szCs w:val="18"/>
        </w:rPr>
        <w:t>成績上位者のCAP上限緩和と履修奨励</w:t>
      </w:r>
    </w:p>
    <w:p w14:paraId="3ACBA557" w14:textId="77777777" w:rsidR="00985BEE" w:rsidRPr="00985BEE" w:rsidRDefault="00985BEE" w:rsidP="00985BEE">
      <w:pPr>
        <w:pStyle w:val="aa"/>
        <w:numPr>
          <w:ilvl w:val="0"/>
          <w:numId w:val="12"/>
        </w:numPr>
        <w:ind w:leftChars="0"/>
        <w:rPr>
          <w:rFonts w:asciiTheme="minorEastAsia" w:hAnsiTheme="minorEastAsia"/>
          <w:szCs w:val="18"/>
        </w:rPr>
      </w:pPr>
      <w:r w:rsidRPr="00985BEE">
        <w:rPr>
          <w:rFonts w:asciiTheme="minorEastAsia" w:hAnsiTheme="minorEastAsia" w:hint="eastAsia"/>
          <w:szCs w:val="18"/>
        </w:rPr>
        <w:t>判定不能を不可に参入しない．</w:t>
      </w:r>
    </w:p>
    <w:p w14:paraId="3192BC52" w14:textId="77777777" w:rsidR="00985BEE" w:rsidRPr="00985BEE" w:rsidRDefault="00985BEE" w:rsidP="00985BEE">
      <w:pPr>
        <w:rPr>
          <w:rFonts w:asciiTheme="minorEastAsia" w:hAnsiTheme="minorEastAsia"/>
          <w:szCs w:val="18"/>
        </w:rPr>
      </w:pPr>
      <w:r w:rsidRPr="00985BEE">
        <w:rPr>
          <w:rFonts w:asciiTheme="minorEastAsia" w:hAnsiTheme="minorEastAsia" w:hint="eastAsia"/>
          <w:szCs w:val="18"/>
        </w:rPr>
        <w:t>５．GPAの活用</w:t>
      </w:r>
    </w:p>
    <w:p w14:paraId="654F54BA" w14:textId="77777777" w:rsidR="00985BEE" w:rsidRPr="00985BEE" w:rsidRDefault="00985BEE" w:rsidP="00985BEE">
      <w:pPr>
        <w:pStyle w:val="aa"/>
        <w:numPr>
          <w:ilvl w:val="0"/>
          <w:numId w:val="13"/>
        </w:numPr>
        <w:ind w:leftChars="0"/>
        <w:rPr>
          <w:rFonts w:asciiTheme="minorEastAsia" w:hAnsiTheme="minorEastAsia"/>
          <w:szCs w:val="18"/>
        </w:rPr>
      </w:pPr>
      <w:r w:rsidRPr="00985BEE">
        <w:rPr>
          <w:rFonts w:asciiTheme="minorEastAsia" w:hAnsiTheme="minorEastAsia" w:hint="eastAsia"/>
          <w:szCs w:val="18"/>
        </w:rPr>
        <w:t>高度科目履修にGPA下限設定</w:t>
      </w:r>
    </w:p>
    <w:p w14:paraId="2F725397" w14:textId="77777777" w:rsidR="00985BEE" w:rsidRPr="00985BEE" w:rsidRDefault="00985BEE" w:rsidP="00985BEE">
      <w:pPr>
        <w:pStyle w:val="aa"/>
        <w:numPr>
          <w:ilvl w:val="0"/>
          <w:numId w:val="13"/>
        </w:numPr>
        <w:ind w:leftChars="0"/>
        <w:rPr>
          <w:rFonts w:asciiTheme="minorEastAsia" w:hAnsiTheme="minorEastAsia"/>
          <w:szCs w:val="18"/>
        </w:rPr>
      </w:pPr>
      <w:r w:rsidRPr="00985BEE">
        <w:rPr>
          <w:rFonts w:asciiTheme="minorEastAsia" w:hAnsiTheme="minorEastAsia" w:hint="eastAsia"/>
          <w:szCs w:val="18"/>
        </w:rPr>
        <w:t>成績不振者の個別学修指導</w:t>
      </w:r>
    </w:p>
    <w:p w14:paraId="4FFD9089" w14:textId="77777777" w:rsidR="00985BEE" w:rsidRPr="00985BEE" w:rsidRDefault="00985BEE" w:rsidP="00985BEE">
      <w:pPr>
        <w:pStyle w:val="aa"/>
        <w:numPr>
          <w:ilvl w:val="0"/>
          <w:numId w:val="13"/>
        </w:numPr>
        <w:ind w:leftChars="0"/>
        <w:rPr>
          <w:rFonts w:asciiTheme="minorEastAsia" w:hAnsiTheme="minorEastAsia"/>
          <w:szCs w:val="18"/>
        </w:rPr>
      </w:pPr>
      <w:r w:rsidRPr="00985BEE">
        <w:rPr>
          <w:rFonts w:asciiTheme="minorEastAsia" w:hAnsiTheme="minorEastAsia" w:hint="eastAsia"/>
          <w:szCs w:val="18"/>
        </w:rPr>
        <w:t>大学院修士課程への推薦基準を学科内席次からGPAへ変更</w:t>
      </w:r>
    </w:p>
    <w:p w14:paraId="4D9EB8F3" w14:textId="77777777" w:rsidR="00985BEE" w:rsidRPr="00985BEE" w:rsidRDefault="00985BEE" w:rsidP="00985BEE">
      <w:pPr>
        <w:rPr>
          <w:rFonts w:asciiTheme="minorEastAsia" w:hAnsiTheme="minorEastAsia"/>
          <w:szCs w:val="18"/>
        </w:rPr>
      </w:pPr>
      <w:r w:rsidRPr="00985BEE">
        <w:rPr>
          <w:rFonts w:asciiTheme="minorEastAsia" w:hAnsiTheme="minorEastAsia" w:hint="eastAsia"/>
          <w:szCs w:val="18"/>
        </w:rPr>
        <w:t>６．成績保留制度創設</w:t>
      </w:r>
    </w:p>
    <w:p w14:paraId="5D2A32AB" w14:textId="77777777" w:rsidR="00985BEE" w:rsidRPr="00985BEE" w:rsidRDefault="00985BEE" w:rsidP="00985BEE">
      <w:pPr>
        <w:rPr>
          <w:rFonts w:asciiTheme="minorEastAsia" w:hAnsiTheme="minorEastAsia"/>
          <w:szCs w:val="18"/>
        </w:rPr>
      </w:pPr>
      <w:r w:rsidRPr="00985BEE">
        <w:rPr>
          <w:rFonts w:asciiTheme="minorEastAsia" w:hAnsiTheme="minorEastAsia" w:hint="eastAsia"/>
          <w:szCs w:val="18"/>
        </w:rPr>
        <w:t>７．留年した者の後期からの卒業研究着手</w:t>
      </w:r>
    </w:p>
    <w:p w14:paraId="36E6B5A5" w14:textId="77777777" w:rsidR="00985BEE" w:rsidRPr="00985BEE" w:rsidRDefault="00985BEE" w:rsidP="00985BEE">
      <w:pPr>
        <w:rPr>
          <w:rFonts w:asciiTheme="minorEastAsia" w:hAnsiTheme="minorEastAsia"/>
          <w:szCs w:val="18"/>
        </w:rPr>
      </w:pPr>
      <w:r w:rsidRPr="00985BEE">
        <w:rPr>
          <w:rFonts w:asciiTheme="minorEastAsia" w:hAnsiTheme="minorEastAsia" w:hint="eastAsia"/>
          <w:szCs w:val="18"/>
        </w:rPr>
        <w:t>８．成績上位者のCAP上限緩和優秀者の上限を緩和</w:t>
      </w:r>
    </w:p>
    <w:p w14:paraId="4BD34785" w14:textId="77777777" w:rsidR="00985BEE" w:rsidRPr="00985BEE" w:rsidRDefault="00985BEE" w:rsidP="00985BEE">
      <w:pPr>
        <w:rPr>
          <w:rFonts w:asciiTheme="minorEastAsia" w:hAnsiTheme="minorEastAsia"/>
          <w:szCs w:val="18"/>
        </w:rPr>
      </w:pPr>
      <w:r w:rsidRPr="00985BEE">
        <w:rPr>
          <w:rFonts w:asciiTheme="minorEastAsia" w:hAnsiTheme="minorEastAsia" w:hint="eastAsia"/>
          <w:szCs w:val="18"/>
        </w:rPr>
        <w:t>９．授業評価アンケートの情報開示</w:t>
      </w:r>
    </w:p>
    <w:p w14:paraId="036B8539" w14:textId="77777777" w:rsidR="00985BEE" w:rsidRPr="00985BEE" w:rsidRDefault="00985BEE" w:rsidP="00985BEE">
      <w:pPr>
        <w:pStyle w:val="aa"/>
        <w:numPr>
          <w:ilvl w:val="0"/>
          <w:numId w:val="14"/>
        </w:numPr>
        <w:ind w:leftChars="0"/>
        <w:rPr>
          <w:rFonts w:asciiTheme="minorEastAsia" w:hAnsiTheme="minorEastAsia"/>
          <w:szCs w:val="18"/>
        </w:rPr>
      </w:pPr>
      <w:r w:rsidRPr="00985BEE">
        <w:rPr>
          <w:rFonts w:asciiTheme="minorEastAsia" w:hAnsiTheme="minorEastAsia" w:hint="eastAsia"/>
          <w:szCs w:val="18"/>
        </w:rPr>
        <w:t>スマホにより授業の中間で実施し，履修者にフィードバック</w:t>
      </w:r>
    </w:p>
    <w:p w14:paraId="6F49772C" w14:textId="77777777" w:rsidR="00985BEE" w:rsidRDefault="00985BEE" w:rsidP="00985BEE">
      <w:pPr>
        <w:pStyle w:val="aa"/>
        <w:numPr>
          <w:ilvl w:val="0"/>
          <w:numId w:val="14"/>
        </w:numPr>
        <w:ind w:leftChars="0"/>
        <w:rPr>
          <w:rFonts w:asciiTheme="minorEastAsia" w:hAnsiTheme="minorEastAsia"/>
          <w:szCs w:val="18"/>
        </w:rPr>
      </w:pPr>
      <w:r w:rsidRPr="00985BEE">
        <w:rPr>
          <w:rFonts w:asciiTheme="minorEastAsia" w:hAnsiTheme="minorEastAsia" w:hint="eastAsia"/>
          <w:szCs w:val="18"/>
        </w:rPr>
        <w:t>学生と教職員へ開示</w:t>
      </w:r>
    </w:p>
    <w:p w14:paraId="649EAF9D" w14:textId="3A411EDA" w:rsidR="00985BEE" w:rsidRPr="00985BEE" w:rsidRDefault="00985BEE" w:rsidP="00985BEE">
      <w:pPr>
        <w:pStyle w:val="aa"/>
        <w:numPr>
          <w:ilvl w:val="0"/>
          <w:numId w:val="14"/>
        </w:numPr>
        <w:ind w:leftChars="0"/>
        <w:rPr>
          <w:rFonts w:asciiTheme="minorEastAsia" w:hAnsiTheme="minorEastAsia"/>
          <w:szCs w:val="18"/>
        </w:rPr>
      </w:pPr>
      <w:r w:rsidRPr="00985BEE">
        <w:rPr>
          <w:rFonts w:asciiTheme="minorEastAsia" w:hAnsiTheme="minorEastAsia" w:hint="eastAsia"/>
          <w:szCs w:val="18"/>
        </w:rPr>
        <w:t>自由記述内容による授業改善</w:t>
      </w:r>
    </w:p>
    <w:p w14:paraId="36C415AB" w14:textId="77777777" w:rsidR="00985BEE" w:rsidRPr="00985BEE" w:rsidRDefault="00985BEE" w:rsidP="00985BEE">
      <w:pPr>
        <w:rPr>
          <w:rFonts w:asciiTheme="minorEastAsia" w:hAnsiTheme="minorEastAsia"/>
          <w:szCs w:val="18"/>
        </w:rPr>
      </w:pPr>
      <w:r w:rsidRPr="00985BEE">
        <w:rPr>
          <w:rFonts w:asciiTheme="minorEastAsia" w:hAnsiTheme="minorEastAsia" w:hint="eastAsia"/>
          <w:szCs w:val="18"/>
        </w:rPr>
        <w:t>１０．ティーチングポートフォリオの活用</w:t>
      </w:r>
    </w:p>
    <w:p w14:paraId="1B800FB9" w14:textId="77777777" w:rsidR="00985BEE" w:rsidRPr="00985BEE" w:rsidRDefault="00985BEE" w:rsidP="00985BEE">
      <w:pPr>
        <w:pStyle w:val="aa"/>
        <w:numPr>
          <w:ilvl w:val="0"/>
          <w:numId w:val="15"/>
        </w:numPr>
        <w:ind w:leftChars="0"/>
        <w:rPr>
          <w:rFonts w:asciiTheme="minorEastAsia" w:hAnsiTheme="minorEastAsia"/>
          <w:szCs w:val="18"/>
        </w:rPr>
      </w:pPr>
      <w:r w:rsidRPr="00985BEE">
        <w:rPr>
          <w:rFonts w:asciiTheme="minorEastAsia" w:hAnsiTheme="minorEastAsia" w:hint="eastAsia"/>
          <w:szCs w:val="18"/>
        </w:rPr>
        <w:t>教員業績登録システムへの教育に関する取り組み記載の義務化</w:t>
      </w:r>
    </w:p>
    <w:p w14:paraId="1AE7F471" w14:textId="77777777" w:rsidR="00985BEE" w:rsidRPr="00985BEE" w:rsidRDefault="00985BEE" w:rsidP="00985BEE">
      <w:pPr>
        <w:pStyle w:val="aa"/>
        <w:numPr>
          <w:ilvl w:val="0"/>
          <w:numId w:val="15"/>
        </w:numPr>
        <w:ind w:leftChars="0"/>
        <w:rPr>
          <w:rFonts w:asciiTheme="minorEastAsia" w:hAnsiTheme="minorEastAsia"/>
          <w:szCs w:val="18"/>
        </w:rPr>
      </w:pPr>
      <w:r w:rsidRPr="00985BEE">
        <w:rPr>
          <w:rFonts w:asciiTheme="minorEastAsia" w:hAnsiTheme="minorEastAsia" w:hint="eastAsia"/>
          <w:szCs w:val="18"/>
        </w:rPr>
        <w:t>授業評価アンケート結果や成績分布などの情報活用</w:t>
      </w:r>
    </w:p>
    <w:p w14:paraId="4F994A6C" w14:textId="77777777" w:rsidR="00985BEE" w:rsidRPr="00985BEE" w:rsidRDefault="00985BEE" w:rsidP="00985BEE">
      <w:pPr>
        <w:pStyle w:val="aa"/>
        <w:numPr>
          <w:ilvl w:val="0"/>
          <w:numId w:val="15"/>
        </w:numPr>
        <w:ind w:leftChars="0"/>
        <w:rPr>
          <w:rFonts w:asciiTheme="minorEastAsia" w:hAnsiTheme="minorEastAsia"/>
          <w:szCs w:val="18"/>
        </w:rPr>
      </w:pPr>
      <w:r w:rsidRPr="00985BEE">
        <w:rPr>
          <w:rFonts w:asciiTheme="minorEastAsia" w:hAnsiTheme="minorEastAsia" w:hint="eastAsia"/>
          <w:szCs w:val="18"/>
        </w:rPr>
        <w:t>教員業績登録システムと学外公開されているResearch Mapの連動、あるいは一本化</w:t>
      </w:r>
    </w:p>
    <w:p w14:paraId="46C8F3FD" w14:textId="77777777" w:rsidR="00985BEE" w:rsidRPr="00985BEE" w:rsidRDefault="00985BEE" w:rsidP="00985BEE">
      <w:pPr>
        <w:pStyle w:val="aa"/>
        <w:numPr>
          <w:ilvl w:val="0"/>
          <w:numId w:val="15"/>
        </w:numPr>
        <w:ind w:leftChars="0"/>
        <w:rPr>
          <w:rFonts w:asciiTheme="minorEastAsia" w:hAnsiTheme="minorEastAsia"/>
          <w:szCs w:val="18"/>
        </w:rPr>
      </w:pPr>
      <w:r w:rsidRPr="00985BEE">
        <w:rPr>
          <w:rFonts w:asciiTheme="minorEastAsia" w:hAnsiTheme="minorEastAsia" w:hint="eastAsia"/>
          <w:szCs w:val="18"/>
        </w:rPr>
        <w:t>教員業績登録システム、あるいはResearch Mapによる教員活動の点検とPDCAサイクルの実質化</w:t>
      </w:r>
    </w:p>
    <w:p w14:paraId="26451A30" w14:textId="77777777" w:rsidR="00985BEE" w:rsidRPr="00985BEE" w:rsidRDefault="00985BEE" w:rsidP="00985BEE">
      <w:pPr>
        <w:rPr>
          <w:rFonts w:asciiTheme="minorEastAsia" w:hAnsiTheme="minorEastAsia"/>
          <w:szCs w:val="18"/>
        </w:rPr>
      </w:pPr>
      <w:r w:rsidRPr="00985BEE">
        <w:rPr>
          <w:rFonts w:asciiTheme="minorEastAsia" w:hAnsiTheme="minorEastAsia" w:hint="eastAsia"/>
          <w:szCs w:val="18"/>
        </w:rPr>
        <w:t>１１．クォーター制の学則明記</w:t>
      </w:r>
    </w:p>
    <w:p w14:paraId="440A5EC8" w14:textId="77777777" w:rsidR="00985BEE" w:rsidRPr="00985BEE" w:rsidRDefault="00985BEE" w:rsidP="00985BEE">
      <w:pPr>
        <w:rPr>
          <w:rFonts w:asciiTheme="minorEastAsia" w:hAnsiTheme="minorEastAsia"/>
          <w:szCs w:val="18"/>
        </w:rPr>
      </w:pPr>
      <w:r w:rsidRPr="00985BEE">
        <w:rPr>
          <w:rFonts w:asciiTheme="minorEastAsia" w:hAnsiTheme="minorEastAsia" w:hint="eastAsia"/>
          <w:szCs w:val="18"/>
        </w:rPr>
        <w:t>１２．数理・データサイエンス教育の検討（12月16日開催の大学協議会で基本方針決定）</w:t>
      </w:r>
    </w:p>
    <w:p w14:paraId="7528B317" w14:textId="5CE2F319" w:rsidR="007E771F" w:rsidRPr="00686697" w:rsidRDefault="00985BEE" w:rsidP="00985BEE">
      <w:pPr>
        <w:jc w:val="right"/>
        <w:rPr>
          <w:rFonts w:asciiTheme="minorEastAsia" w:hAnsiTheme="minorEastAsia"/>
          <w:szCs w:val="18"/>
        </w:rPr>
      </w:pPr>
      <w:r w:rsidRPr="00985BEE">
        <w:rPr>
          <w:rFonts w:asciiTheme="minorEastAsia" w:hAnsiTheme="minorEastAsia" w:hint="eastAsia"/>
          <w:szCs w:val="18"/>
        </w:rPr>
        <w:t>以　　上</w:t>
      </w:r>
      <w:r w:rsidR="007E771F" w:rsidRPr="00686697">
        <w:rPr>
          <w:rFonts w:asciiTheme="minorEastAsia" w:hAnsiTheme="minorEastAsia" w:hint="eastAsia"/>
          <w:szCs w:val="18"/>
        </w:rPr>
        <w:t>．</w:t>
      </w:r>
    </w:p>
    <w:p w14:paraId="7D551E5B" w14:textId="77777777" w:rsidR="00985BEE" w:rsidRDefault="00985BEE" w:rsidP="00985BEE">
      <w:pPr>
        <w:spacing w:line="300" w:lineRule="exact"/>
        <w:rPr>
          <w:rFonts w:asciiTheme="minorEastAsia" w:hAnsiTheme="minorEastAsia"/>
          <w:szCs w:val="18"/>
        </w:rPr>
      </w:pPr>
    </w:p>
    <w:p w14:paraId="22F0EDBB" w14:textId="3740B397" w:rsidR="00D95D51" w:rsidRDefault="003F2824" w:rsidP="00D95D51">
      <w:pPr>
        <w:spacing w:line="300" w:lineRule="exact"/>
        <w:ind w:firstLineChars="100" w:firstLine="229"/>
        <w:rPr>
          <w:rFonts w:asciiTheme="minorEastAsia" w:hAnsiTheme="minorEastAsia"/>
          <w:szCs w:val="18"/>
        </w:rPr>
      </w:pPr>
      <w:r>
        <w:rPr>
          <w:rFonts w:asciiTheme="minorEastAsia" w:hAnsiTheme="minorEastAsia" w:hint="eastAsia"/>
          <w:szCs w:val="18"/>
        </w:rPr>
        <w:t>高等教育のグランドデザイン2040から著者が抽出した，</w:t>
      </w:r>
      <w:r w:rsidR="005B00C0">
        <w:rPr>
          <w:rFonts w:asciiTheme="minorEastAsia" w:hAnsiTheme="minorEastAsia" w:hint="eastAsia"/>
          <w:szCs w:val="18"/>
        </w:rPr>
        <w:t>すべての大学に求められている教育方針と，本学が実施している，あるいは実施することが決定している教育施策の主なものを</w:t>
      </w:r>
      <w:r w:rsidR="00976851" w:rsidRPr="00976851">
        <w:rPr>
          <w:rFonts w:asciiTheme="majorEastAsia" w:eastAsiaTheme="majorEastAsia" w:hAnsiTheme="majorEastAsia" w:hint="eastAsia"/>
          <w:szCs w:val="18"/>
        </w:rPr>
        <w:t>図-1</w:t>
      </w:r>
      <w:r w:rsidR="00976851">
        <w:rPr>
          <w:rFonts w:asciiTheme="minorEastAsia" w:hAnsiTheme="minorEastAsia" w:hint="eastAsia"/>
          <w:szCs w:val="18"/>
        </w:rPr>
        <w:t>に</w:t>
      </w:r>
      <w:r w:rsidR="005B00C0">
        <w:rPr>
          <w:rFonts w:asciiTheme="minorEastAsia" w:hAnsiTheme="minorEastAsia" w:hint="eastAsia"/>
          <w:szCs w:val="18"/>
        </w:rPr>
        <w:t>示す．</w:t>
      </w:r>
      <w:r w:rsidR="00976851">
        <w:rPr>
          <w:rFonts w:asciiTheme="minorEastAsia" w:hAnsiTheme="minorEastAsia" w:hint="eastAsia"/>
          <w:szCs w:val="18"/>
        </w:rPr>
        <w:t>本学</w:t>
      </w:r>
      <w:r w:rsidR="00F040FA">
        <w:rPr>
          <w:rFonts w:asciiTheme="minorEastAsia" w:hAnsiTheme="minorEastAsia" w:hint="eastAsia"/>
          <w:szCs w:val="18"/>
        </w:rPr>
        <w:t>の本格的な教育改革は2016年度に始まった</w:t>
      </w:r>
      <w:r w:rsidR="001A3CD0">
        <w:rPr>
          <w:rFonts w:asciiTheme="minorEastAsia" w:hAnsiTheme="minorEastAsia" w:hint="eastAsia"/>
          <w:szCs w:val="18"/>
        </w:rPr>
        <w:t>と言える</w:t>
      </w:r>
      <w:r w:rsidR="00F040FA">
        <w:rPr>
          <w:rFonts w:asciiTheme="minorEastAsia" w:hAnsiTheme="minorEastAsia" w:hint="eastAsia"/>
          <w:szCs w:val="18"/>
        </w:rPr>
        <w:t>．</w:t>
      </w:r>
      <w:r w:rsidR="00244871">
        <w:rPr>
          <w:rFonts w:asciiTheme="minorEastAsia" w:hAnsiTheme="minorEastAsia" w:hint="eastAsia"/>
          <w:szCs w:val="18"/>
        </w:rPr>
        <w:t>それは，</w:t>
      </w:r>
      <w:r w:rsidR="00F040FA" w:rsidRPr="00F040FA">
        <w:rPr>
          <w:rFonts w:asciiTheme="minorEastAsia" w:hAnsiTheme="minorEastAsia" w:hint="eastAsia"/>
          <w:szCs w:val="18"/>
        </w:rPr>
        <w:t>文部科学省による</w:t>
      </w:r>
      <w:r w:rsidR="00F040FA">
        <w:rPr>
          <w:rFonts w:asciiTheme="minorEastAsia" w:hAnsiTheme="minorEastAsia" w:hint="eastAsia"/>
          <w:szCs w:val="18"/>
        </w:rPr>
        <w:t>2016年度</w:t>
      </w:r>
      <w:r w:rsidR="00F040FA" w:rsidRPr="00F040FA">
        <w:rPr>
          <w:rFonts w:asciiTheme="minorEastAsia" w:hAnsiTheme="minorEastAsia" w:hint="eastAsia"/>
          <w:szCs w:val="18"/>
        </w:rPr>
        <w:t>大学教育再生加速プログラム（AP）の高大接続改革推進事業 テーマV「卒業時における質保証の取組の強化」</w:t>
      </w:r>
      <w:r w:rsidR="00F040FA">
        <w:rPr>
          <w:rFonts w:asciiTheme="minorEastAsia" w:hAnsiTheme="minorEastAsia" w:hint="eastAsia"/>
          <w:szCs w:val="18"/>
        </w:rPr>
        <w:t>に採択されたこと</w:t>
      </w:r>
      <w:r w:rsidR="000877DD">
        <w:rPr>
          <w:rFonts w:asciiTheme="minorEastAsia" w:hAnsiTheme="minorEastAsia" w:hint="eastAsia"/>
          <w:szCs w:val="18"/>
        </w:rPr>
        <w:t>を</w:t>
      </w:r>
      <w:r w:rsidR="00F040FA">
        <w:rPr>
          <w:rFonts w:asciiTheme="minorEastAsia" w:hAnsiTheme="minorEastAsia" w:hint="eastAsia"/>
          <w:szCs w:val="18"/>
        </w:rPr>
        <w:t>契機と</w:t>
      </w:r>
      <w:r w:rsidR="00244871">
        <w:rPr>
          <w:rFonts w:asciiTheme="minorEastAsia" w:hAnsiTheme="minorEastAsia" w:hint="eastAsia"/>
          <w:szCs w:val="18"/>
        </w:rPr>
        <w:t>し</w:t>
      </w:r>
      <w:r w:rsidR="000877DD">
        <w:rPr>
          <w:rFonts w:asciiTheme="minorEastAsia" w:hAnsiTheme="minorEastAsia" w:hint="eastAsia"/>
          <w:szCs w:val="18"/>
        </w:rPr>
        <w:t>ている</w:t>
      </w:r>
      <w:r w:rsidR="00F040FA">
        <w:rPr>
          <w:rFonts w:asciiTheme="minorEastAsia" w:hAnsiTheme="minorEastAsia" w:hint="eastAsia"/>
          <w:szCs w:val="18"/>
        </w:rPr>
        <w:t xml:space="preserve">．その後，2019年度までのプロジェクトとしてプレ・ディプロマサプリメントの発行を含むEポートフォリオであるTCU-FORCE（TCU </w:t>
      </w:r>
      <w:r w:rsidR="00F040FA">
        <w:rPr>
          <w:rFonts w:asciiTheme="minorEastAsia" w:hAnsiTheme="minorEastAsia"/>
          <w:szCs w:val="18"/>
        </w:rPr>
        <w:t>FOR Career Enrollment）</w:t>
      </w:r>
      <w:r w:rsidR="00F040FA">
        <w:rPr>
          <w:rFonts w:asciiTheme="minorEastAsia" w:hAnsiTheme="minorEastAsia" w:hint="eastAsia"/>
          <w:szCs w:val="18"/>
        </w:rPr>
        <w:t>システムの開発を実施してきた．このプロジェクトは現在，他大学や文部科学省などを含む社会から高い評価を受け</w:t>
      </w:r>
      <w:r w:rsidR="001B060F">
        <w:rPr>
          <w:rFonts w:asciiTheme="minorEastAsia" w:hAnsiTheme="minorEastAsia" w:hint="eastAsia"/>
          <w:szCs w:val="18"/>
        </w:rPr>
        <w:t>ている．しかし，一方，</w:t>
      </w:r>
      <w:r w:rsidR="00F040FA">
        <w:rPr>
          <w:rFonts w:asciiTheme="minorEastAsia" w:hAnsiTheme="minorEastAsia" w:hint="eastAsia"/>
          <w:szCs w:val="18"/>
        </w:rPr>
        <w:t>本学の教育改革の方向性が明確でないとの指摘を</w:t>
      </w:r>
      <w:r w:rsidR="00245EEB">
        <w:rPr>
          <w:rFonts w:asciiTheme="minorEastAsia" w:hAnsiTheme="minorEastAsia" w:hint="eastAsia"/>
          <w:szCs w:val="18"/>
        </w:rPr>
        <w:t>本プロジェクトの</w:t>
      </w:r>
      <w:r w:rsidR="00F040FA">
        <w:rPr>
          <w:rFonts w:asciiTheme="minorEastAsia" w:hAnsiTheme="minorEastAsia" w:hint="eastAsia"/>
          <w:szCs w:val="18"/>
        </w:rPr>
        <w:t>中間</w:t>
      </w:r>
      <w:r w:rsidR="00245EEB">
        <w:rPr>
          <w:rFonts w:asciiTheme="minorEastAsia" w:hAnsiTheme="minorEastAsia" w:hint="eastAsia"/>
          <w:szCs w:val="18"/>
        </w:rPr>
        <w:t>評価</w:t>
      </w:r>
      <w:r w:rsidR="00F040FA">
        <w:rPr>
          <w:rFonts w:asciiTheme="minorEastAsia" w:hAnsiTheme="minorEastAsia" w:hint="eastAsia"/>
          <w:szCs w:val="18"/>
        </w:rPr>
        <w:t>では受けた．</w:t>
      </w:r>
      <w:r w:rsidR="00245EEB">
        <w:rPr>
          <w:rFonts w:asciiTheme="minorEastAsia" w:hAnsiTheme="minorEastAsia" w:hint="eastAsia"/>
          <w:szCs w:val="18"/>
        </w:rPr>
        <w:t>そのため</w:t>
      </w:r>
      <w:r w:rsidR="00F040FA">
        <w:rPr>
          <w:rFonts w:asciiTheme="minorEastAsia" w:hAnsiTheme="minorEastAsia" w:hint="eastAsia"/>
          <w:szCs w:val="18"/>
        </w:rPr>
        <w:t>，教育開発機構がけん引役となり，2018年度と2019年度の秋に，</w:t>
      </w:r>
      <w:r w:rsidR="00D95D51">
        <w:rPr>
          <w:rFonts w:asciiTheme="minorEastAsia" w:hAnsiTheme="minorEastAsia" w:hint="eastAsia"/>
          <w:szCs w:val="18"/>
        </w:rPr>
        <w:t>二つの</w:t>
      </w:r>
      <w:r w:rsidR="00F040FA">
        <w:rPr>
          <w:rFonts w:asciiTheme="minorEastAsia" w:hAnsiTheme="minorEastAsia" w:hint="eastAsia"/>
          <w:szCs w:val="18"/>
        </w:rPr>
        <w:t>教育改革基本方針2020が</w:t>
      </w:r>
      <w:r w:rsidR="00D95D51">
        <w:rPr>
          <w:rFonts w:asciiTheme="minorEastAsia" w:hAnsiTheme="minorEastAsia" w:hint="eastAsia"/>
          <w:szCs w:val="18"/>
        </w:rPr>
        <w:t>決定され，</w:t>
      </w:r>
      <w:r w:rsidR="007966FC">
        <w:rPr>
          <w:rFonts w:asciiTheme="minorEastAsia" w:hAnsiTheme="minorEastAsia" w:hint="eastAsia"/>
          <w:szCs w:val="18"/>
        </w:rPr>
        <w:t>2020年度から実施する短</w:t>
      </w:r>
      <w:r w:rsidR="00D95D51">
        <w:rPr>
          <w:rFonts w:asciiTheme="minorEastAsia" w:hAnsiTheme="minorEastAsia" w:hint="eastAsia"/>
          <w:szCs w:val="18"/>
        </w:rPr>
        <w:t>期的な教育改革の主な内容</w:t>
      </w:r>
      <w:r w:rsidR="00976851">
        <w:rPr>
          <w:rFonts w:asciiTheme="minorEastAsia" w:hAnsiTheme="minorEastAsia" w:hint="eastAsia"/>
          <w:szCs w:val="18"/>
        </w:rPr>
        <w:t>が</w:t>
      </w:r>
      <w:r w:rsidR="00D95D51">
        <w:rPr>
          <w:rFonts w:asciiTheme="minorEastAsia" w:hAnsiTheme="minorEastAsia" w:hint="eastAsia"/>
          <w:szCs w:val="18"/>
        </w:rPr>
        <w:t>固まった．グランドデザイン</w:t>
      </w:r>
      <w:r w:rsidR="00976851">
        <w:rPr>
          <w:rFonts w:asciiTheme="minorEastAsia" w:hAnsiTheme="minorEastAsia" w:hint="eastAsia"/>
          <w:szCs w:val="18"/>
        </w:rPr>
        <w:t>2040</w:t>
      </w:r>
      <w:r w:rsidR="00D95D51">
        <w:rPr>
          <w:rFonts w:asciiTheme="minorEastAsia" w:hAnsiTheme="minorEastAsia" w:hint="eastAsia"/>
          <w:szCs w:val="18"/>
        </w:rPr>
        <w:t>で示されている方針とおおむね一致した教育施策が展開されつつあることが分かる．</w:t>
      </w:r>
    </w:p>
    <w:p w14:paraId="7528B339" w14:textId="50CD3FDD" w:rsidR="008B4984" w:rsidRDefault="00E85343" w:rsidP="00D95D51">
      <w:pPr>
        <w:spacing w:line="300" w:lineRule="exact"/>
        <w:rPr>
          <w:rFonts w:ascii="ＭＳ 明朝" w:eastAsia="ＭＳ 明朝" w:hAnsi="ＭＳ 明朝"/>
          <w:szCs w:val="18"/>
        </w:rPr>
      </w:pPr>
      <w:r>
        <w:rPr>
          <w:rFonts w:ascii="ＭＳ 明朝" w:eastAsia="ＭＳ 明朝" w:hAnsi="ＭＳ 明朝" w:hint="eastAsia"/>
          <w:szCs w:val="18"/>
        </w:rPr>
        <w:t xml:space="preserve">　</w:t>
      </w:r>
      <w:r w:rsidR="00CB2F00">
        <w:rPr>
          <w:rFonts w:ascii="ＭＳ 明朝" w:eastAsia="ＭＳ 明朝" w:hAnsi="ＭＳ 明朝" w:hint="eastAsia"/>
          <w:szCs w:val="18"/>
        </w:rPr>
        <w:t>すでに，</w:t>
      </w:r>
      <w:r w:rsidR="004F2220">
        <w:rPr>
          <w:rFonts w:ascii="ＭＳ 明朝" w:eastAsia="ＭＳ 明朝" w:hAnsi="ＭＳ 明朝" w:hint="eastAsia"/>
          <w:szCs w:val="18"/>
        </w:rPr>
        <w:t>実施されている事項もあるが，原則，ここに示した施策のすべてが2020年度</w:t>
      </w:r>
      <w:r w:rsidR="008A6EB5">
        <w:rPr>
          <w:rFonts w:ascii="ＭＳ 明朝" w:eastAsia="ＭＳ 明朝" w:hAnsi="ＭＳ 明朝" w:hint="eastAsia"/>
          <w:szCs w:val="18"/>
        </w:rPr>
        <w:t>よ</w:t>
      </w:r>
      <w:r w:rsidR="00900DBD">
        <w:rPr>
          <w:rFonts w:ascii="ＭＳ 明朝" w:eastAsia="ＭＳ 明朝" w:hAnsi="ＭＳ 明朝" w:hint="eastAsia"/>
          <w:szCs w:val="18"/>
        </w:rPr>
        <w:t>り実践されることになる．</w:t>
      </w:r>
      <w:r w:rsidR="006F1C1F" w:rsidRPr="007E771F">
        <w:rPr>
          <w:rFonts w:asciiTheme="majorEastAsia" w:eastAsiaTheme="majorEastAsia" w:hAnsiTheme="majorEastAsia"/>
          <w:noProof/>
          <w:szCs w:val="18"/>
        </w:rPr>
        <mc:AlternateContent>
          <mc:Choice Requires="wps">
            <w:drawing>
              <wp:anchor distT="45720" distB="45720" distL="114300" distR="114300" simplePos="0" relativeHeight="251661312" behindDoc="0" locked="0" layoutInCell="1" allowOverlap="1" wp14:anchorId="7528B33F" wp14:editId="5BD51A6D">
                <wp:simplePos x="0" y="0"/>
                <wp:positionH relativeFrom="margin">
                  <wp:align>right</wp:align>
                </wp:positionH>
                <wp:positionV relativeFrom="paragraph">
                  <wp:posOffset>664845</wp:posOffset>
                </wp:positionV>
                <wp:extent cx="6110605" cy="5549900"/>
                <wp:effectExtent l="0" t="0" r="444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0605" cy="5549900"/>
                        </a:xfrm>
                        <a:prstGeom prst="rect">
                          <a:avLst/>
                        </a:prstGeom>
                        <a:solidFill>
                          <a:srgbClr val="FFFFFF"/>
                        </a:solidFill>
                        <a:ln w="9525">
                          <a:noFill/>
                          <a:miter lim="800000"/>
                          <a:headEnd/>
                          <a:tailEnd/>
                        </a:ln>
                      </wps:spPr>
                      <wps:txbx>
                        <w:txbxContent>
                          <w:p w14:paraId="7528B34B" w14:textId="523D7457" w:rsidR="007E771F" w:rsidRDefault="003F2824" w:rsidP="003F2824">
                            <w:pPr>
                              <w:jc w:val="center"/>
                            </w:pPr>
                            <w:r w:rsidRPr="003F2824">
                              <w:rPr>
                                <w:noProof/>
                              </w:rPr>
                              <w:drawing>
                                <wp:inline distT="0" distB="0" distL="0" distR="0" wp14:anchorId="6CDBAF57" wp14:editId="2D065A54">
                                  <wp:extent cx="4724400" cy="51299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7423" cy="5133257"/>
                                          </a:xfrm>
                                          <a:prstGeom prst="rect">
                                            <a:avLst/>
                                          </a:prstGeom>
                                          <a:noFill/>
                                          <a:ln>
                                            <a:noFill/>
                                          </a:ln>
                                        </pic:spPr>
                                      </pic:pic>
                                    </a:graphicData>
                                  </a:graphic>
                                </wp:inline>
                              </w:drawing>
                            </w:r>
                          </w:p>
                          <w:p w14:paraId="7528B34D" w14:textId="7057DAFB" w:rsidR="007E771F" w:rsidRPr="003F2824" w:rsidRDefault="007E771F" w:rsidP="003F2824">
                            <w:pPr>
                              <w:jc w:val="center"/>
                              <w:rPr>
                                <w:szCs w:val="18"/>
                              </w:rPr>
                            </w:pPr>
                            <w:r w:rsidRPr="00F30285">
                              <w:rPr>
                                <w:rFonts w:asciiTheme="majorEastAsia" w:eastAsiaTheme="majorEastAsia" w:hAnsiTheme="majorEastAsia" w:hint="eastAsia"/>
                                <w:szCs w:val="18"/>
                              </w:rPr>
                              <w:t xml:space="preserve">図-1 </w:t>
                            </w:r>
                            <w:r w:rsidR="003F2824">
                              <w:rPr>
                                <w:rFonts w:asciiTheme="minorEastAsia" w:hAnsiTheme="minorEastAsia" w:hint="eastAsia"/>
                                <w:szCs w:val="18"/>
                              </w:rPr>
                              <w:t>高等教育グランドデザイン2040と東京都市大学の教育施策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28B33F" id="_x0000_t202" coordsize="21600,21600" o:spt="202" path="m,l,21600r21600,l21600,xe">
                <v:stroke joinstyle="miter"/>
                <v:path gradientshapeok="t" o:connecttype="rect"/>
              </v:shapetype>
              <v:shape id="テキスト ボックス 2" o:spid="_x0000_s1026" type="#_x0000_t202" style="position:absolute;left:0;text-align:left;margin-left:429.95pt;margin-top:52.35pt;width:481.15pt;height:437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" stroked="f">
                <v:textbox>
                  <w:txbxContent>
                    <w:p w14:paraId="7528B34B" w14:textId="523D7457" w:rsidR="007E771F" w:rsidRDefault="003F2824" w:rsidP="003F2824">
                      <w:pPr>
                        <w:jc w:val="center"/>
                      </w:pPr>
                      <w:r w:rsidRPr="003F2824">
                        <w:rPr>
                          <w:noProof/>
                        </w:rPr>
                        <w:drawing>
                          <wp:inline distT="0" distB="0" distL="0" distR="0" wp14:anchorId="6CDBAF57" wp14:editId="2D065A54">
                            <wp:extent cx="4724400" cy="51299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7423" cy="5133257"/>
                                    </a:xfrm>
                                    <a:prstGeom prst="rect">
                                      <a:avLst/>
                                    </a:prstGeom>
                                    <a:noFill/>
                                    <a:ln>
                                      <a:noFill/>
                                    </a:ln>
                                  </pic:spPr>
                                </pic:pic>
                              </a:graphicData>
                            </a:graphic>
                          </wp:inline>
                        </w:drawing>
                      </w:r>
                    </w:p>
                    <w:p w14:paraId="7528B34D" w14:textId="7057DAFB" w:rsidR="007E771F" w:rsidRPr="003F2824" w:rsidRDefault="007E771F" w:rsidP="003F2824">
                      <w:pPr>
                        <w:jc w:val="center"/>
                        <w:rPr>
                          <w:szCs w:val="18"/>
                        </w:rPr>
                      </w:pPr>
                      <w:r w:rsidRPr="00F30285">
                        <w:rPr>
                          <w:rFonts w:asciiTheme="majorEastAsia" w:eastAsiaTheme="majorEastAsia" w:hAnsiTheme="majorEastAsia" w:hint="eastAsia"/>
                          <w:szCs w:val="18"/>
                        </w:rPr>
                        <w:t xml:space="preserve">図-1 </w:t>
                      </w:r>
                      <w:r w:rsidR="003F2824">
                        <w:rPr>
                          <w:rFonts w:asciiTheme="minorEastAsia" w:hAnsiTheme="minorEastAsia" w:hint="eastAsia"/>
                          <w:szCs w:val="18"/>
                        </w:rPr>
                        <w:t>高等教育グランドデザイン2040と東京都市大学の教育施策</w:t>
                      </w:r>
                    </w:p>
                  </w:txbxContent>
                </v:textbox>
                <w10:wrap type="square" anchorx="margin"/>
              </v:shape>
            </w:pict>
          </mc:Fallback>
        </mc:AlternateContent>
      </w:r>
    </w:p>
    <w:p w14:paraId="1D929B30" w14:textId="77777777" w:rsidR="00442F8A" w:rsidRDefault="00900DBD">
      <w:pPr>
        <w:rPr>
          <w:rFonts w:ascii="ＭＳ 明朝" w:eastAsia="ＭＳ 明朝" w:hAnsi="ＭＳ 明朝"/>
          <w:szCs w:val="18"/>
        </w:rPr>
      </w:pPr>
      <w:r>
        <w:rPr>
          <w:rFonts w:ascii="ＭＳ 明朝" w:eastAsia="ＭＳ 明朝" w:hAnsi="ＭＳ 明朝" w:hint="eastAsia"/>
          <w:szCs w:val="18"/>
        </w:rPr>
        <w:t xml:space="preserve">　</w:t>
      </w:r>
    </w:p>
    <w:p w14:paraId="0A67658C" w14:textId="09860383" w:rsidR="00481D66" w:rsidRDefault="00481D66" w:rsidP="00442F8A">
      <w:pPr>
        <w:ind w:firstLineChars="100" w:firstLine="229"/>
        <w:rPr>
          <w:rFonts w:ascii="ＭＳ 明朝" w:eastAsia="ＭＳ 明朝" w:hAnsi="ＭＳ 明朝"/>
          <w:szCs w:val="18"/>
        </w:rPr>
      </w:pPr>
      <w:r w:rsidRPr="000877DD">
        <w:rPr>
          <w:rFonts w:asciiTheme="majorEastAsia" w:eastAsiaTheme="majorEastAsia" w:hAnsiTheme="majorEastAsia"/>
          <w:noProof/>
          <w:szCs w:val="18"/>
        </w:rPr>
        <w:lastRenderedPageBreak/>
        <mc:AlternateContent>
          <mc:Choice Requires="wps">
            <w:drawing>
              <wp:anchor distT="45720" distB="45720" distL="114300" distR="114300" simplePos="0" relativeHeight="251663360" behindDoc="0" locked="0" layoutInCell="1" allowOverlap="1" wp14:anchorId="2A93F703" wp14:editId="73669CBD">
                <wp:simplePos x="0" y="0"/>
                <wp:positionH relativeFrom="margin">
                  <wp:align>right</wp:align>
                </wp:positionH>
                <wp:positionV relativeFrom="paragraph">
                  <wp:posOffset>1696720</wp:posOffset>
                </wp:positionV>
                <wp:extent cx="3284855" cy="7175500"/>
                <wp:effectExtent l="0" t="0" r="0" b="635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7175500"/>
                        </a:xfrm>
                        <a:prstGeom prst="rect">
                          <a:avLst/>
                        </a:prstGeom>
                        <a:solidFill>
                          <a:srgbClr val="FFFFFF"/>
                        </a:solidFill>
                        <a:ln w="9525">
                          <a:noFill/>
                          <a:miter lim="800000"/>
                          <a:headEnd/>
                          <a:tailEnd/>
                        </a:ln>
                      </wps:spPr>
                      <wps:txbx>
                        <w:txbxContent>
                          <w:p w14:paraId="0DABA123" w14:textId="09A77C4A" w:rsidR="00662044" w:rsidRDefault="002506AC" w:rsidP="002506AC">
                            <w:pPr>
                              <w:jc w:val="center"/>
                            </w:pPr>
                            <w:r w:rsidRPr="002506AC">
                              <w:rPr>
                                <w:noProof/>
                              </w:rPr>
                              <w:drawing>
                                <wp:inline distT="0" distB="0" distL="0" distR="0" wp14:anchorId="41E39AD2" wp14:editId="693A6A11">
                                  <wp:extent cx="2636640" cy="1960920"/>
                                  <wp:effectExtent l="0" t="0" r="0" b="12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6640" cy="1960920"/>
                                          </a:xfrm>
                                          <a:prstGeom prst="rect">
                                            <a:avLst/>
                                          </a:prstGeom>
                                          <a:noFill/>
                                          <a:ln>
                                            <a:noFill/>
                                          </a:ln>
                                        </pic:spPr>
                                      </pic:pic>
                                    </a:graphicData>
                                  </a:graphic>
                                </wp:inline>
                              </w:drawing>
                            </w:r>
                          </w:p>
                          <w:p w14:paraId="74C3E3F8" w14:textId="301AB444" w:rsidR="002506AC" w:rsidRPr="003F2824" w:rsidRDefault="002506AC" w:rsidP="002506AC">
                            <w:pPr>
                              <w:jc w:val="center"/>
                              <w:rPr>
                                <w:szCs w:val="18"/>
                              </w:rPr>
                            </w:pPr>
                            <w:r w:rsidRPr="00F30285">
                              <w:rPr>
                                <w:rFonts w:asciiTheme="majorEastAsia" w:eastAsiaTheme="majorEastAsia" w:hAnsiTheme="majorEastAsia" w:hint="eastAsia"/>
                                <w:szCs w:val="18"/>
                              </w:rPr>
                              <w:t>図-</w:t>
                            </w:r>
                            <w:r>
                              <w:rPr>
                                <w:rFonts w:asciiTheme="majorEastAsia" w:eastAsiaTheme="majorEastAsia" w:hAnsiTheme="majorEastAsia" w:hint="eastAsia"/>
                                <w:szCs w:val="18"/>
                              </w:rPr>
                              <w:t>2</w:t>
                            </w:r>
                            <w:r w:rsidRPr="00F30285">
                              <w:rPr>
                                <w:rFonts w:asciiTheme="majorEastAsia" w:eastAsiaTheme="majorEastAsia" w:hAnsiTheme="majorEastAsia" w:hint="eastAsia"/>
                                <w:szCs w:val="18"/>
                              </w:rPr>
                              <w:t xml:space="preserve"> </w:t>
                            </w:r>
                            <w:r>
                              <w:rPr>
                                <w:rFonts w:asciiTheme="minorEastAsia" w:hAnsiTheme="minorEastAsia" w:hint="eastAsia"/>
                                <w:szCs w:val="18"/>
                              </w:rPr>
                              <w:t>教育目標を達成するための重点施策</w:t>
                            </w:r>
                          </w:p>
                          <w:p w14:paraId="2DDA71A3" w14:textId="24F36090" w:rsidR="002506AC" w:rsidRDefault="002506AC" w:rsidP="002506AC">
                            <w:pPr>
                              <w:jc w:val="center"/>
                            </w:pPr>
                            <w:r w:rsidRPr="002506AC">
                              <w:rPr>
                                <w:rFonts w:hint="eastAsia"/>
                                <w:noProof/>
                              </w:rPr>
                              <w:drawing>
                                <wp:inline distT="0" distB="0" distL="0" distR="0" wp14:anchorId="25A0B856" wp14:editId="03904C46">
                                  <wp:extent cx="2666520" cy="1987200"/>
                                  <wp:effectExtent l="0" t="0" r="63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6520" cy="1987200"/>
                                          </a:xfrm>
                                          <a:prstGeom prst="rect">
                                            <a:avLst/>
                                          </a:prstGeom>
                                          <a:noFill/>
                                          <a:ln>
                                            <a:noFill/>
                                          </a:ln>
                                        </pic:spPr>
                                      </pic:pic>
                                    </a:graphicData>
                                  </a:graphic>
                                </wp:inline>
                              </w:drawing>
                            </w:r>
                          </w:p>
                          <w:p w14:paraId="27CC4DC7" w14:textId="447B7658" w:rsidR="002506AC" w:rsidRPr="002506AC" w:rsidRDefault="002506AC" w:rsidP="002506AC">
                            <w:pPr>
                              <w:jc w:val="center"/>
                              <w:rPr>
                                <w:szCs w:val="18"/>
                              </w:rPr>
                            </w:pPr>
                            <w:r w:rsidRPr="00F30285">
                              <w:rPr>
                                <w:rFonts w:asciiTheme="majorEastAsia" w:eastAsiaTheme="majorEastAsia" w:hAnsiTheme="majorEastAsia" w:hint="eastAsia"/>
                                <w:szCs w:val="18"/>
                              </w:rPr>
                              <w:t>図-</w:t>
                            </w:r>
                            <w:r>
                              <w:rPr>
                                <w:rFonts w:asciiTheme="majorEastAsia" w:eastAsiaTheme="majorEastAsia" w:hAnsiTheme="majorEastAsia" w:hint="eastAsia"/>
                                <w:szCs w:val="18"/>
                              </w:rPr>
                              <w:t>3</w:t>
                            </w:r>
                            <w:r w:rsidRPr="00F30285">
                              <w:rPr>
                                <w:rFonts w:asciiTheme="majorEastAsia" w:eastAsiaTheme="majorEastAsia" w:hAnsiTheme="majorEastAsia" w:hint="eastAsia"/>
                                <w:szCs w:val="18"/>
                              </w:rPr>
                              <w:t xml:space="preserve"> </w:t>
                            </w:r>
                            <w:r>
                              <w:rPr>
                                <w:rFonts w:asciiTheme="minorEastAsia" w:hAnsiTheme="minorEastAsia" w:hint="eastAsia"/>
                                <w:szCs w:val="18"/>
                              </w:rPr>
                              <w:t>数理・データサイエンス教育方針</w:t>
                            </w:r>
                          </w:p>
                          <w:p w14:paraId="5A67A494" w14:textId="1EEAE164" w:rsidR="002506AC" w:rsidRDefault="002506AC" w:rsidP="002506AC">
                            <w:pPr>
                              <w:jc w:val="center"/>
                            </w:pPr>
                            <w:r w:rsidRPr="002506AC">
                              <w:rPr>
                                <w:rFonts w:hint="eastAsia"/>
                                <w:noProof/>
                              </w:rPr>
                              <w:drawing>
                                <wp:inline distT="0" distB="0" distL="0" distR="0" wp14:anchorId="5FE9A757" wp14:editId="1FE942D1">
                                  <wp:extent cx="2666880" cy="1953360"/>
                                  <wp:effectExtent l="0" t="0" r="635"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6880" cy="1953360"/>
                                          </a:xfrm>
                                          <a:prstGeom prst="rect">
                                            <a:avLst/>
                                          </a:prstGeom>
                                          <a:noFill/>
                                          <a:ln>
                                            <a:noFill/>
                                          </a:ln>
                                        </pic:spPr>
                                      </pic:pic>
                                    </a:graphicData>
                                  </a:graphic>
                                </wp:inline>
                              </w:drawing>
                            </w:r>
                          </w:p>
                          <w:p w14:paraId="49E39CFD" w14:textId="56E481A5" w:rsidR="002506AC" w:rsidRPr="003F2824" w:rsidRDefault="002506AC" w:rsidP="002506AC">
                            <w:pPr>
                              <w:jc w:val="center"/>
                              <w:rPr>
                                <w:szCs w:val="18"/>
                              </w:rPr>
                            </w:pPr>
                            <w:r w:rsidRPr="00F30285">
                              <w:rPr>
                                <w:rFonts w:asciiTheme="majorEastAsia" w:eastAsiaTheme="majorEastAsia" w:hAnsiTheme="majorEastAsia" w:hint="eastAsia"/>
                                <w:szCs w:val="18"/>
                              </w:rPr>
                              <w:t>図-</w:t>
                            </w:r>
                            <w:r>
                              <w:rPr>
                                <w:rFonts w:asciiTheme="majorEastAsia" w:eastAsiaTheme="majorEastAsia" w:hAnsiTheme="majorEastAsia" w:hint="eastAsia"/>
                                <w:szCs w:val="18"/>
                              </w:rPr>
                              <w:t>4</w:t>
                            </w:r>
                            <w:r w:rsidRPr="00F30285">
                              <w:rPr>
                                <w:rFonts w:asciiTheme="majorEastAsia" w:eastAsiaTheme="majorEastAsia" w:hAnsiTheme="majorEastAsia" w:hint="eastAsia"/>
                                <w:szCs w:val="18"/>
                              </w:rPr>
                              <w:t xml:space="preserve"> </w:t>
                            </w:r>
                            <w:r>
                              <w:rPr>
                                <w:rFonts w:asciiTheme="minorEastAsia" w:hAnsiTheme="minorEastAsia" w:hint="eastAsia"/>
                                <w:szCs w:val="18"/>
                              </w:rPr>
                              <w:t>教育改革を阻害する要因</w:t>
                            </w:r>
                          </w:p>
                          <w:p w14:paraId="33D58D19" w14:textId="77777777" w:rsidR="002506AC" w:rsidRPr="002506AC" w:rsidRDefault="002506AC" w:rsidP="002506A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93F703" id="_x0000_s1027" type="#_x0000_t202" style="position:absolute;left:0;text-align:left;margin-left:207.45pt;margin-top:133.6pt;width:258.65pt;height:56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" stroked="f">
                <v:textbox>
                  <w:txbxContent>
                    <w:p w14:paraId="0DABA123" w14:textId="09A77C4A" w:rsidR="00662044" w:rsidRDefault="002506AC" w:rsidP="002506AC">
                      <w:pPr>
                        <w:jc w:val="center"/>
                      </w:pPr>
                      <w:r w:rsidRPr="002506AC">
                        <w:rPr>
                          <w:noProof/>
                        </w:rPr>
                        <w:drawing>
                          <wp:inline distT="0" distB="0" distL="0" distR="0" wp14:anchorId="41E39AD2" wp14:editId="693A6A11">
                            <wp:extent cx="2636640" cy="1960920"/>
                            <wp:effectExtent l="0" t="0" r="0" b="12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6640" cy="1960920"/>
                                    </a:xfrm>
                                    <a:prstGeom prst="rect">
                                      <a:avLst/>
                                    </a:prstGeom>
                                    <a:noFill/>
                                    <a:ln>
                                      <a:noFill/>
                                    </a:ln>
                                  </pic:spPr>
                                </pic:pic>
                              </a:graphicData>
                            </a:graphic>
                          </wp:inline>
                        </w:drawing>
                      </w:r>
                    </w:p>
                    <w:p w14:paraId="74C3E3F8" w14:textId="301AB444" w:rsidR="002506AC" w:rsidRPr="003F2824" w:rsidRDefault="002506AC" w:rsidP="002506AC">
                      <w:pPr>
                        <w:jc w:val="center"/>
                        <w:rPr>
                          <w:szCs w:val="18"/>
                        </w:rPr>
                      </w:pPr>
                      <w:r w:rsidRPr="00F30285">
                        <w:rPr>
                          <w:rFonts w:asciiTheme="majorEastAsia" w:eastAsiaTheme="majorEastAsia" w:hAnsiTheme="majorEastAsia" w:hint="eastAsia"/>
                          <w:szCs w:val="18"/>
                        </w:rPr>
                        <w:t>図-</w:t>
                      </w:r>
                      <w:r>
                        <w:rPr>
                          <w:rFonts w:asciiTheme="majorEastAsia" w:eastAsiaTheme="majorEastAsia" w:hAnsiTheme="majorEastAsia" w:hint="eastAsia"/>
                          <w:szCs w:val="18"/>
                        </w:rPr>
                        <w:t>2</w:t>
                      </w:r>
                      <w:r w:rsidRPr="00F30285">
                        <w:rPr>
                          <w:rFonts w:asciiTheme="majorEastAsia" w:eastAsiaTheme="majorEastAsia" w:hAnsiTheme="majorEastAsia" w:hint="eastAsia"/>
                          <w:szCs w:val="18"/>
                        </w:rPr>
                        <w:t xml:space="preserve"> </w:t>
                      </w:r>
                      <w:r>
                        <w:rPr>
                          <w:rFonts w:asciiTheme="minorEastAsia" w:hAnsiTheme="minorEastAsia" w:hint="eastAsia"/>
                          <w:szCs w:val="18"/>
                        </w:rPr>
                        <w:t>教育目標を達成するための重点施策</w:t>
                      </w:r>
                    </w:p>
                    <w:p w14:paraId="2DDA71A3" w14:textId="24F36090" w:rsidR="002506AC" w:rsidRDefault="002506AC" w:rsidP="002506AC">
                      <w:pPr>
                        <w:jc w:val="center"/>
                      </w:pPr>
                      <w:r w:rsidRPr="002506AC">
                        <w:rPr>
                          <w:rFonts w:hint="eastAsia"/>
                          <w:noProof/>
                        </w:rPr>
                        <w:drawing>
                          <wp:inline distT="0" distB="0" distL="0" distR="0" wp14:anchorId="25A0B856" wp14:editId="03904C46">
                            <wp:extent cx="2666520" cy="1987200"/>
                            <wp:effectExtent l="0" t="0" r="63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6520" cy="1987200"/>
                                    </a:xfrm>
                                    <a:prstGeom prst="rect">
                                      <a:avLst/>
                                    </a:prstGeom>
                                    <a:noFill/>
                                    <a:ln>
                                      <a:noFill/>
                                    </a:ln>
                                  </pic:spPr>
                                </pic:pic>
                              </a:graphicData>
                            </a:graphic>
                          </wp:inline>
                        </w:drawing>
                      </w:r>
                    </w:p>
                    <w:p w14:paraId="27CC4DC7" w14:textId="447B7658" w:rsidR="002506AC" w:rsidRPr="002506AC" w:rsidRDefault="002506AC" w:rsidP="002506AC">
                      <w:pPr>
                        <w:jc w:val="center"/>
                        <w:rPr>
                          <w:szCs w:val="18"/>
                        </w:rPr>
                      </w:pPr>
                      <w:r w:rsidRPr="00F30285">
                        <w:rPr>
                          <w:rFonts w:asciiTheme="majorEastAsia" w:eastAsiaTheme="majorEastAsia" w:hAnsiTheme="majorEastAsia" w:hint="eastAsia"/>
                          <w:szCs w:val="18"/>
                        </w:rPr>
                        <w:t>図-</w:t>
                      </w:r>
                      <w:r>
                        <w:rPr>
                          <w:rFonts w:asciiTheme="majorEastAsia" w:eastAsiaTheme="majorEastAsia" w:hAnsiTheme="majorEastAsia" w:hint="eastAsia"/>
                          <w:szCs w:val="18"/>
                        </w:rPr>
                        <w:t>3</w:t>
                      </w:r>
                      <w:r w:rsidRPr="00F30285">
                        <w:rPr>
                          <w:rFonts w:asciiTheme="majorEastAsia" w:eastAsiaTheme="majorEastAsia" w:hAnsiTheme="majorEastAsia" w:hint="eastAsia"/>
                          <w:szCs w:val="18"/>
                        </w:rPr>
                        <w:t xml:space="preserve"> </w:t>
                      </w:r>
                      <w:r>
                        <w:rPr>
                          <w:rFonts w:asciiTheme="minorEastAsia" w:hAnsiTheme="minorEastAsia" w:hint="eastAsia"/>
                          <w:szCs w:val="18"/>
                        </w:rPr>
                        <w:t>数理・データサイエンス教育方針</w:t>
                      </w:r>
                    </w:p>
                    <w:p w14:paraId="5A67A494" w14:textId="1EEAE164" w:rsidR="002506AC" w:rsidRDefault="002506AC" w:rsidP="002506AC">
                      <w:pPr>
                        <w:jc w:val="center"/>
                      </w:pPr>
                      <w:r w:rsidRPr="002506AC">
                        <w:rPr>
                          <w:rFonts w:hint="eastAsia"/>
                          <w:noProof/>
                        </w:rPr>
                        <w:drawing>
                          <wp:inline distT="0" distB="0" distL="0" distR="0" wp14:anchorId="5FE9A757" wp14:editId="1FE942D1">
                            <wp:extent cx="2666880" cy="1953360"/>
                            <wp:effectExtent l="0" t="0" r="635"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6880" cy="1953360"/>
                                    </a:xfrm>
                                    <a:prstGeom prst="rect">
                                      <a:avLst/>
                                    </a:prstGeom>
                                    <a:noFill/>
                                    <a:ln>
                                      <a:noFill/>
                                    </a:ln>
                                  </pic:spPr>
                                </pic:pic>
                              </a:graphicData>
                            </a:graphic>
                          </wp:inline>
                        </w:drawing>
                      </w:r>
                    </w:p>
                    <w:p w14:paraId="49E39CFD" w14:textId="56E481A5" w:rsidR="002506AC" w:rsidRPr="003F2824" w:rsidRDefault="002506AC" w:rsidP="002506AC">
                      <w:pPr>
                        <w:jc w:val="center"/>
                        <w:rPr>
                          <w:szCs w:val="18"/>
                        </w:rPr>
                      </w:pPr>
                      <w:r w:rsidRPr="00F30285">
                        <w:rPr>
                          <w:rFonts w:asciiTheme="majorEastAsia" w:eastAsiaTheme="majorEastAsia" w:hAnsiTheme="majorEastAsia" w:hint="eastAsia"/>
                          <w:szCs w:val="18"/>
                        </w:rPr>
                        <w:t>図-</w:t>
                      </w:r>
                      <w:r>
                        <w:rPr>
                          <w:rFonts w:asciiTheme="majorEastAsia" w:eastAsiaTheme="majorEastAsia" w:hAnsiTheme="majorEastAsia" w:hint="eastAsia"/>
                          <w:szCs w:val="18"/>
                        </w:rPr>
                        <w:t>4</w:t>
                      </w:r>
                      <w:r w:rsidRPr="00F30285">
                        <w:rPr>
                          <w:rFonts w:asciiTheme="majorEastAsia" w:eastAsiaTheme="majorEastAsia" w:hAnsiTheme="majorEastAsia" w:hint="eastAsia"/>
                          <w:szCs w:val="18"/>
                        </w:rPr>
                        <w:t xml:space="preserve"> </w:t>
                      </w:r>
                      <w:r>
                        <w:rPr>
                          <w:rFonts w:asciiTheme="minorEastAsia" w:hAnsiTheme="minorEastAsia" w:hint="eastAsia"/>
                          <w:szCs w:val="18"/>
                        </w:rPr>
                        <w:t>教育改革を阻害する要因</w:t>
                      </w:r>
                    </w:p>
                    <w:p w14:paraId="33D58D19" w14:textId="77777777" w:rsidR="002506AC" w:rsidRPr="002506AC" w:rsidRDefault="002506AC" w:rsidP="002506AC">
                      <w:pPr>
                        <w:jc w:val="center"/>
                      </w:pPr>
                    </w:p>
                  </w:txbxContent>
                </v:textbox>
                <w10:wrap type="square" anchorx="margin"/>
              </v:shape>
            </w:pict>
          </mc:Fallback>
        </mc:AlternateContent>
      </w:r>
      <w:r w:rsidR="0042540E" w:rsidRPr="000877DD">
        <w:rPr>
          <w:rFonts w:asciiTheme="majorEastAsia" w:eastAsiaTheme="majorEastAsia" w:hAnsiTheme="majorEastAsia" w:hint="eastAsia"/>
          <w:szCs w:val="18"/>
        </w:rPr>
        <w:t>図-2</w:t>
      </w:r>
      <w:r w:rsidR="0042540E">
        <w:rPr>
          <w:rFonts w:ascii="ＭＳ 明朝" w:eastAsia="ＭＳ 明朝" w:hAnsi="ＭＳ 明朝" w:hint="eastAsia"/>
          <w:szCs w:val="18"/>
        </w:rPr>
        <w:t>は，</w:t>
      </w:r>
      <w:r w:rsidR="00442F8A">
        <w:rPr>
          <w:rFonts w:ascii="ＭＳ 明朝" w:eastAsia="ＭＳ 明朝" w:hAnsi="ＭＳ 明朝" w:hint="eastAsia"/>
          <w:szCs w:val="18"/>
        </w:rPr>
        <w:t>本学の教育目標を達成するための重点施策を整理したものである．ディプロマサプリメントによる学修成果の可視化と，教育施策基本方針による学習課程の改善と可視化を一体的に進めることで，本学の教学マネジメントを確立するものである．また，学修成果の可視化に当たっては，現状のディプロマサプリメントを改善することが不可欠である．改善の柱は，導入教育，全学必修科目群SD-PBL及び卒業研究である．「学びの心に灯をつける」導入教育と</w:t>
      </w:r>
      <w:r w:rsidR="000877DD">
        <w:rPr>
          <w:rFonts w:ascii="ＭＳ 明朝" w:eastAsia="ＭＳ 明朝" w:hAnsi="ＭＳ 明朝" w:hint="eastAsia"/>
          <w:szCs w:val="18"/>
        </w:rPr>
        <w:t>「</w:t>
      </w:r>
      <w:r w:rsidR="000877DD">
        <w:rPr>
          <w:rFonts w:ascii="ＭＳ 明朝" w:eastAsia="ＭＳ 明朝" w:hAnsi="ＭＳ 明朝" w:hint="eastAsia"/>
          <w:szCs w:val="18"/>
        </w:rPr>
        <w:t>持続可能な開発</w:t>
      </w:r>
      <w:r w:rsidR="000877DD">
        <w:rPr>
          <w:rFonts w:ascii="ＭＳ 明朝" w:eastAsia="ＭＳ 明朝" w:hAnsi="ＭＳ 明朝" w:hint="eastAsia"/>
          <w:szCs w:val="18"/>
        </w:rPr>
        <w:t>」</w:t>
      </w:r>
      <w:r w:rsidR="00442F8A">
        <w:rPr>
          <w:rFonts w:ascii="ＭＳ 明朝" w:eastAsia="ＭＳ 明朝" w:hAnsi="ＭＳ 明朝" w:hint="eastAsia"/>
          <w:szCs w:val="18"/>
        </w:rPr>
        <w:t>すなわちSDをターゲットにした全学</w:t>
      </w:r>
      <w:r w:rsidR="000877DD">
        <w:rPr>
          <w:rFonts w:ascii="ＭＳ 明朝" w:eastAsia="ＭＳ 明朝" w:hAnsi="ＭＳ 明朝" w:hint="eastAsia"/>
          <w:szCs w:val="18"/>
        </w:rPr>
        <w:t>生対象</w:t>
      </w:r>
      <w:r w:rsidR="00442F8A">
        <w:rPr>
          <w:rFonts w:ascii="ＭＳ 明朝" w:eastAsia="ＭＳ 明朝" w:hAnsi="ＭＳ 明朝" w:hint="eastAsia"/>
          <w:szCs w:val="18"/>
        </w:rPr>
        <w:t>のPBL科目</w:t>
      </w:r>
      <w:r w:rsidR="000877DD">
        <w:rPr>
          <w:rFonts w:ascii="ＭＳ 明朝" w:eastAsia="ＭＳ 明朝" w:hAnsi="ＭＳ 明朝" w:hint="eastAsia"/>
          <w:szCs w:val="18"/>
        </w:rPr>
        <w:t>群の開発</w:t>
      </w:r>
      <w:r w:rsidR="00442F8A">
        <w:rPr>
          <w:rFonts w:ascii="ＭＳ 明朝" w:eastAsia="ＭＳ 明朝" w:hAnsi="ＭＳ 明朝" w:hint="eastAsia"/>
          <w:szCs w:val="18"/>
        </w:rPr>
        <w:t>，完成教育としての卒業研究のディプロマポリシーへの紐付けと評価の基準化・可視化の３施策が相まって，学習成果から学修成果へマッピングする学習教育のマネジメントが実現する．</w:t>
      </w:r>
    </w:p>
    <w:p w14:paraId="7528B33A" w14:textId="1E9B40D4" w:rsidR="008B4984" w:rsidRDefault="00481D66" w:rsidP="00442F8A">
      <w:pPr>
        <w:ind w:firstLineChars="100" w:firstLine="229"/>
        <w:rPr>
          <w:rFonts w:ascii="ＭＳ 明朝" w:eastAsia="ＭＳ 明朝" w:hAnsi="ＭＳ 明朝"/>
          <w:szCs w:val="18"/>
        </w:rPr>
      </w:pPr>
      <w:r w:rsidRPr="000877DD">
        <w:rPr>
          <w:rFonts w:ascii="ＭＳ ゴシック" w:eastAsia="ＭＳ ゴシック" w:hAnsi="ＭＳ ゴシック" w:hint="eastAsia"/>
          <w:szCs w:val="18"/>
        </w:rPr>
        <w:t>図-3</w:t>
      </w:r>
      <w:r w:rsidR="00C37D3B">
        <w:rPr>
          <w:rFonts w:ascii="ＭＳ 明朝" w:eastAsia="ＭＳ 明朝" w:hAnsi="ＭＳ 明朝" w:hint="eastAsia"/>
          <w:szCs w:val="18"/>
        </w:rPr>
        <w:t>は，2019年の秋から学長の強いリーダーシップの下で検討し，2020年度入学生から全学生必修として実施する数理データサイエンス教育の枠組みである．極めて短時間での検討にも関わらず，学内関係者の</w:t>
      </w:r>
      <w:r w:rsidR="000877DD">
        <w:rPr>
          <w:rFonts w:ascii="ＭＳ 明朝" w:eastAsia="ＭＳ 明朝" w:hAnsi="ＭＳ 明朝" w:hint="eastAsia"/>
          <w:szCs w:val="18"/>
        </w:rPr>
        <w:t>理解</w:t>
      </w:r>
      <w:r w:rsidR="00C37D3B">
        <w:rPr>
          <w:rFonts w:ascii="ＭＳ 明朝" w:eastAsia="ＭＳ 明朝" w:hAnsi="ＭＳ 明朝" w:hint="eastAsia"/>
          <w:szCs w:val="18"/>
        </w:rPr>
        <w:t>と</w:t>
      </w:r>
      <w:r w:rsidR="000877DD">
        <w:rPr>
          <w:rFonts w:ascii="ＭＳ 明朝" w:eastAsia="ＭＳ 明朝" w:hAnsi="ＭＳ 明朝" w:hint="eastAsia"/>
          <w:szCs w:val="18"/>
        </w:rPr>
        <w:t>努力</w:t>
      </w:r>
      <w:r w:rsidR="00C37D3B">
        <w:rPr>
          <w:rFonts w:ascii="ＭＳ 明朝" w:eastAsia="ＭＳ 明朝" w:hAnsi="ＭＳ 明朝" w:hint="eastAsia"/>
          <w:szCs w:val="18"/>
        </w:rPr>
        <w:t>により，国の方針として求められている，文理のボーダーを超えた</w:t>
      </w:r>
      <w:r w:rsidR="007C6BFC">
        <w:rPr>
          <w:rFonts w:ascii="ＭＳ 明朝" w:eastAsia="ＭＳ 明朝" w:hAnsi="ＭＳ 明朝" w:hint="eastAsia"/>
          <w:szCs w:val="18"/>
        </w:rPr>
        <w:t>数理データサイエンスに関わる</w:t>
      </w:r>
      <w:r w:rsidR="00C37D3B">
        <w:rPr>
          <w:rFonts w:ascii="ＭＳ 明朝" w:eastAsia="ＭＳ 明朝" w:hAnsi="ＭＳ 明朝" w:hint="eastAsia"/>
          <w:szCs w:val="18"/>
        </w:rPr>
        <w:t>学習教育の枠組みが構築された．成果はこれからであるが，やる気になればできる，というグッドプラクティス</w:t>
      </w:r>
      <w:r w:rsidR="0054173E">
        <w:rPr>
          <w:rFonts w:ascii="ＭＳ 明朝" w:eastAsia="ＭＳ 明朝" w:hAnsi="ＭＳ 明朝" w:hint="eastAsia"/>
          <w:szCs w:val="18"/>
        </w:rPr>
        <w:t>であったと，言われるもの</w:t>
      </w:r>
      <w:r w:rsidR="00C37D3B">
        <w:rPr>
          <w:rFonts w:ascii="ＭＳ 明朝" w:eastAsia="ＭＳ 明朝" w:hAnsi="ＭＳ 明朝" w:hint="eastAsia"/>
          <w:szCs w:val="18"/>
        </w:rPr>
        <w:t>にしなければならないと考えている．</w:t>
      </w:r>
    </w:p>
    <w:p w14:paraId="3CC5336D" w14:textId="3C361C03" w:rsidR="00C37D3B" w:rsidRDefault="00C37D3B" w:rsidP="00442F8A">
      <w:pPr>
        <w:ind w:firstLineChars="100" w:firstLine="229"/>
        <w:rPr>
          <w:rFonts w:ascii="ＭＳ 明朝" w:eastAsia="ＭＳ 明朝" w:hAnsi="ＭＳ 明朝"/>
          <w:szCs w:val="18"/>
        </w:rPr>
      </w:pPr>
      <w:r w:rsidRPr="000877DD">
        <w:rPr>
          <w:rFonts w:ascii="ＭＳ ゴシック" w:eastAsia="ＭＳ ゴシック" w:hAnsi="ＭＳ ゴシック" w:hint="eastAsia"/>
          <w:szCs w:val="18"/>
        </w:rPr>
        <w:t>図-4</w:t>
      </w:r>
      <w:r>
        <w:rPr>
          <w:rFonts w:ascii="ＭＳ 明朝" w:eastAsia="ＭＳ 明朝" w:hAnsi="ＭＳ 明朝" w:hint="eastAsia"/>
          <w:szCs w:val="18"/>
        </w:rPr>
        <w:t>に示すように，教育改革を阻害する要因は多い．</w:t>
      </w:r>
      <w:r w:rsidR="00C33465">
        <w:rPr>
          <w:rFonts w:ascii="ＭＳ 明朝" w:eastAsia="ＭＳ 明朝" w:hAnsi="ＭＳ 明朝" w:hint="eastAsia"/>
          <w:szCs w:val="18"/>
        </w:rPr>
        <w:t>ここで，特に強調したいことは，学生の満足度をどう考えるのかという点である．例えば，「</w:t>
      </w:r>
      <w:r w:rsidR="00C33465">
        <w:rPr>
          <w:rFonts w:ascii="ＭＳ 明朝" w:eastAsia="ＭＳ 明朝" w:hAnsi="ＭＳ 明朝" w:hint="eastAsia"/>
          <w:szCs w:val="18"/>
        </w:rPr>
        <w:t>CAPの厳格化は留年生を増加させる</w:t>
      </w:r>
      <w:r w:rsidR="00C33465">
        <w:rPr>
          <w:rFonts w:ascii="ＭＳ 明朝" w:eastAsia="ＭＳ 明朝" w:hAnsi="ＭＳ 明朝" w:hint="eastAsia"/>
          <w:szCs w:val="18"/>
        </w:rPr>
        <w:t>」，「</w:t>
      </w:r>
      <w:r w:rsidR="00C33465">
        <w:rPr>
          <w:rFonts w:ascii="ＭＳ 明朝" w:eastAsia="ＭＳ 明朝" w:hAnsi="ＭＳ 明朝" w:hint="eastAsia"/>
          <w:szCs w:val="18"/>
        </w:rPr>
        <w:t>データサイエンス</w:t>
      </w:r>
      <w:r w:rsidR="00C33465">
        <w:rPr>
          <w:rFonts w:ascii="ＭＳ 明朝" w:eastAsia="ＭＳ 明朝" w:hAnsi="ＭＳ 明朝" w:hint="eastAsia"/>
          <w:szCs w:val="18"/>
        </w:rPr>
        <w:t>教育</w:t>
      </w:r>
      <w:r w:rsidR="00C33465">
        <w:rPr>
          <w:rFonts w:ascii="ＭＳ 明朝" w:eastAsia="ＭＳ 明朝" w:hAnsi="ＭＳ 明朝" w:hint="eastAsia"/>
          <w:szCs w:val="18"/>
        </w:rPr>
        <w:t>の導入で学ぶべき内容が増える</w:t>
      </w:r>
      <w:r w:rsidR="00C33465">
        <w:rPr>
          <w:rFonts w:ascii="ＭＳ 明朝" w:eastAsia="ＭＳ 明朝" w:hAnsi="ＭＳ 明朝" w:hint="eastAsia"/>
          <w:szCs w:val="18"/>
        </w:rPr>
        <w:t>」，などの批判の声を聴く．しかし，学生の将来の可能性を最大限に高めることによって自分の人生で明確になった時に</w:t>
      </w:r>
      <w:r w:rsidR="00C33465">
        <w:rPr>
          <w:rFonts w:ascii="ＭＳ 明朝" w:eastAsia="ＭＳ 明朝" w:hAnsi="ＭＳ 明朝" w:hint="eastAsia"/>
          <w:szCs w:val="18"/>
        </w:rPr>
        <w:t>学生</w:t>
      </w:r>
      <w:r w:rsidR="00C33465">
        <w:rPr>
          <w:rFonts w:ascii="ＭＳ 明朝" w:eastAsia="ＭＳ 明朝" w:hAnsi="ＭＳ 明朝" w:hint="eastAsia"/>
          <w:szCs w:val="18"/>
        </w:rPr>
        <w:t>は大学での学習教育</w:t>
      </w:r>
      <w:r w:rsidR="00753D33">
        <w:rPr>
          <w:rFonts w:ascii="ＭＳ 明朝" w:eastAsia="ＭＳ 明朝" w:hAnsi="ＭＳ 明朝" w:hint="eastAsia"/>
          <w:szCs w:val="18"/>
        </w:rPr>
        <w:t>が満足できるものであったと</w:t>
      </w:r>
      <w:r w:rsidR="00C33465">
        <w:rPr>
          <w:rFonts w:ascii="ＭＳ 明朝" w:eastAsia="ＭＳ 明朝" w:hAnsi="ＭＳ 明朝" w:hint="eastAsia"/>
          <w:szCs w:val="18"/>
        </w:rPr>
        <w:t>実感されるものである．</w:t>
      </w:r>
      <w:r w:rsidR="00753D33">
        <w:rPr>
          <w:rFonts w:ascii="ＭＳ 明朝" w:eastAsia="ＭＳ 明朝" w:hAnsi="ＭＳ 明朝" w:hint="eastAsia"/>
          <w:szCs w:val="18"/>
        </w:rPr>
        <w:t>短絡的な考えに陥らないようにしなければならない．これからも</w:t>
      </w:r>
      <w:r>
        <w:rPr>
          <w:rFonts w:ascii="ＭＳ 明朝" w:eastAsia="ＭＳ 明朝" w:hAnsi="ＭＳ 明朝" w:hint="eastAsia"/>
          <w:szCs w:val="18"/>
        </w:rPr>
        <w:t>これらの</w:t>
      </w:r>
      <w:r w:rsidR="00753D33">
        <w:rPr>
          <w:rFonts w:ascii="ＭＳ 明朝" w:eastAsia="ＭＳ 明朝" w:hAnsi="ＭＳ 明朝" w:hint="eastAsia"/>
          <w:szCs w:val="18"/>
        </w:rPr>
        <w:t>改革の阻害</w:t>
      </w:r>
      <w:r>
        <w:rPr>
          <w:rFonts w:ascii="ＭＳ 明朝" w:eastAsia="ＭＳ 明朝" w:hAnsi="ＭＳ 明朝" w:hint="eastAsia"/>
          <w:szCs w:val="18"/>
        </w:rPr>
        <w:t>要因を意識して，教学マネジメントを確立</w:t>
      </w:r>
      <w:r w:rsidR="00753D33">
        <w:rPr>
          <w:rFonts w:ascii="ＭＳ 明朝" w:eastAsia="ＭＳ 明朝" w:hAnsi="ＭＳ 明朝" w:hint="eastAsia"/>
          <w:szCs w:val="18"/>
        </w:rPr>
        <w:t>する</w:t>
      </w:r>
      <w:r>
        <w:rPr>
          <w:rFonts w:ascii="ＭＳ 明朝" w:eastAsia="ＭＳ 明朝" w:hAnsi="ＭＳ 明朝" w:hint="eastAsia"/>
          <w:szCs w:val="18"/>
        </w:rPr>
        <w:t>ことが社会から大学に求められている．改革は始まったばかりである．</w:t>
      </w:r>
      <w:bookmarkStart w:id="1" w:name="_GoBack"/>
      <w:bookmarkEnd w:id="1"/>
    </w:p>
    <w:sectPr w:rsidR="00C37D3B" w:rsidSect="003A4377">
      <w:headerReference w:type="default" r:id="rId17"/>
      <w:pgSz w:w="11906" w:h="16838" w:code="9"/>
      <w:pgMar w:top="1418" w:right="1134" w:bottom="1418" w:left="1134" w:header="567" w:footer="992" w:gutter="0"/>
      <w:cols w:space="425"/>
      <w:docGrid w:type="linesAndChars" w:linePitch="368" w:charSpace="101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D0DF1B" w14:textId="77777777" w:rsidR="000A06E7" w:rsidRDefault="000A06E7" w:rsidP="00D0499A">
      <w:r>
        <w:separator/>
      </w:r>
    </w:p>
  </w:endnote>
  <w:endnote w:type="continuationSeparator" w:id="0">
    <w:p w14:paraId="0CB48E58" w14:textId="77777777" w:rsidR="000A06E7" w:rsidRDefault="000A06E7" w:rsidP="00D0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496F58" w14:textId="77777777" w:rsidR="000A06E7" w:rsidRDefault="000A06E7" w:rsidP="00D0499A">
      <w:r>
        <w:separator/>
      </w:r>
    </w:p>
  </w:footnote>
  <w:footnote w:type="continuationSeparator" w:id="0">
    <w:p w14:paraId="68C6AE95" w14:textId="77777777" w:rsidR="000A06E7" w:rsidRDefault="000A06E7" w:rsidP="00D0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8B345" w14:textId="77777777" w:rsidR="00102C18" w:rsidRPr="00B56C79" w:rsidRDefault="00171333" w:rsidP="008B4984">
    <w:pPr>
      <w:pStyle w:val="1"/>
      <w:rPr>
        <w:rFonts w:ascii="ＭＳ 明朝" w:eastAsia="ＭＳ 明朝" w:hAnsi="ＭＳ 明朝"/>
        <w:sz w:val="20"/>
        <w:szCs w:val="20"/>
      </w:rPr>
    </w:pPr>
    <w:r w:rsidRPr="00B56C79">
      <w:rPr>
        <w:rFonts w:ascii="ＭＳ 明朝" w:eastAsia="ＭＳ 明朝" w:hAnsi="ＭＳ 明朝" w:hint="eastAsia"/>
        <w:sz w:val="20"/>
        <w:szCs w:val="20"/>
      </w:rPr>
      <w:t>目次（教育支援センター入力欄）</w:t>
    </w:r>
  </w:p>
  <w:sdt>
    <w:sdtPr>
      <w:rPr>
        <w:rFonts w:ascii="ＭＳ 明朝" w:eastAsia="ＭＳ 明朝" w:hAnsi="ＭＳ 明朝" w:hint="eastAsia"/>
        <w:sz w:val="20"/>
        <w:szCs w:val="20"/>
      </w:rPr>
      <w:alias w:val="タイトル"/>
      <w:tag w:val=""/>
      <w:id w:val="1619491204"/>
      <w:placeholder>
        <w:docPart w:val="58CB4939D21C42E489A7570F9984761F"/>
      </w:placeholder>
      <w:dataBinding w:prefixMappings="xmlns:ns0='http://purl.org/dc/elements/1.1/' xmlns:ns1='http://schemas.openxmlformats.org/package/2006/metadata/core-properties' " w:xpath="/ns1:coreProperties[1]/ns0:title[1]" w:storeItemID="{6C3C8BC8-F283-45AE-878A-BAB7291924A1}"/>
      <w:text/>
    </w:sdtPr>
    <w:sdtEndPr/>
    <w:sdtContent>
      <w:p w14:paraId="7528B347" w14:textId="6D781DE1" w:rsidR="00B362E7" w:rsidRPr="00B362E7" w:rsidRDefault="00A94486" w:rsidP="00A94486">
        <w:pPr>
          <w:jc w:val="center"/>
          <w:rPr>
            <w:sz w:val="8"/>
            <w:szCs w:val="8"/>
          </w:rPr>
        </w:pPr>
        <w:r w:rsidRPr="00A94486">
          <w:rPr>
            <w:rFonts w:ascii="ＭＳ 明朝" w:eastAsia="ＭＳ 明朝" w:hAnsi="ＭＳ 明朝" w:hint="eastAsia"/>
            <w:sz w:val="20"/>
            <w:szCs w:val="20"/>
          </w:rPr>
          <w:t>高等教育グランドデザインと本学の教育改革の今後</w:t>
        </w:r>
      </w:p>
    </w:sdtContent>
  </w:sdt>
  <w:tbl>
    <w:tblPr>
      <w:tblW w:w="0" w:type="auto"/>
      <w:tblBorders>
        <w:top w:val="single" w:sz="4" w:space="0" w:color="auto"/>
      </w:tblBorders>
      <w:tblCellMar>
        <w:left w:w="99" w:type="dxa"/>
        <w:right w:w="99" w:type="dxa"/>
      </w:tblCellMar>
      <w:tblLook w:val="0000" w:firstRow="0" w:lastRow="0" w:firstColumn="0" w:lastColumn="0" w:noHBand="0" w:noVBand="0"/>
    </w:tblPr>
    <w:tblGrid>
      <w:gridCol w:w="9605"/>
    </w:tblGrid>
    <w:tr w:rsidR="00283DB8" w:rsidRPr="00283DB8" w14:paraId="7528B349" w14:textId="77777777" w:rsidTr="00283DB8">
      <w:trPr>
        <w:trHeight w:val="100"/>
      </w:trPr>
      <w:tc>
        <w:tcPr>
          <w:tcW w:w="9605" w:type="dxa"/>
        </w:tcPr>
        <w:p w14:paraId="7528B348" w14:textId="77777777" w:rsidR="00283DB8" w:rsidRPr="00283DB8" w:rsidRDefault="00283DB8" w:rsidP="00102C18">
          <w:pPr>
            <w:pStyle w:val="a3"/>
            <w:tabs>
              <w:tab w:val="clear" w:pos="4252"/>
              <w:tab w:val="clear" w:pos="8504"/>
              <w:tab w:val="left" w:pos="1549"/>
            </w:tabs>
            <w:jc w:val="center"/>
            <w:rPr>
              <w:rFonts w:ascii="ＭＳ 明朝" w:eastAsia="ＭＳ 明朝" w:hAnsi="ＭＳ 明朝"/>
              <w:sz w:val="8"/>
              <w:szCs w:val="8"/>
            </w:rPr>
          </w:pPr>
        </w:p>
      </w:tc>
    </w:tr>
  </w:tbl>
  <w:p w14:paraId="7528B34A" w14:textId="77777777" w:rsidR="00283DB8" w:rsidRPr="00283DB8" w:rsidRDefault="00283DB8" w:rsidP="00283DB8">
    <w:pPr>
      <w:pStyle w:val="a3"/>
      <w:tabs>
        <w:tab w:val="clear" w:pos="4252"/>
        <w:tab w:val="clear" w:pos="8504"/>
        <w:tab w:val="left" w:pos="1549"/>
      </w:tabs>
      <w:rPr>
        <w:rFonts w:ascii="ＭＳ 明朝" w:eastAsia="ＭＳ 明朝" w:hAnsi="ＭＳ 明朝"/>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F477A"/>
    <w:multiLevelType w:val="hybridMultilevel"/>
    <w:tmpl w:val="9B3A919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73E5FF1"/>
    <w:multiLevelType w:val="hybridMultilevel"/>
    <w:tmpl w:val="F4621DB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B704422"/>
    <w:multiLevelType w:val="hybridMultilevel"/>
    <w:tmpl w:val="1244330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07B4B44"/>
    <w:multiLevelType w:val="hybridMultilevel"/>
    <w:tmpl w:val="8D4410F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243A105D"/>
    <w:multiLevelType w:val="hybridMultilevel"/>
    <w:tmpl w:val="4FCCDF5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44B0F00"/>
    <w:multiLevelType w:val="hybridMultilevel"/>
    <w:tmpl w:val="667ACB8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08637A2"/>
    <w:multiLevelType w:val="hybridMultilevel"/>
    <w:tmpl w:val="2606157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311D6F69"/>
    <w:multiLevelType w:val="hybridMultilevel"/>
    <w:tmpl w:val="25BE476C"/>
    <w:lvl w:ilvl="0" w:tplc="18F85012">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456D2083"/>
    <w:multiLevelType w:val="hybridMultilevel"/>
    <w:tmpl w:val="DBB4318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46E90BD6"/>
    <w:multiLevelType w:val="hybridMultilevel"/>
    <w:tmpl w:val="97366E2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5FA80B68"/>
    <w:multiLevelType w:val="hybridMultilevel"/>
    <w:tmpl w:val="9CF6F0D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6AA9115A"/>
    <w:multiLevelType w:val="hybridMultilevel"/>
    <w:tmpl w:val="B570269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706C3BC4"/>
    <w:multiLevelType w:val="hybridMultilevel"/>
    <w:tmpl w:val="31E0E97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75B44CE0"/>
    <w:multiLevelType w:val="hybridMultilevel"/>
    <w:tmpl w:val="F5E62A9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76D923BE"/>
    <w:multiLevelType w:val="hybridMultilevel"/>
    <w:tmpl w:val="C41627D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13"/>
  </w:num>
  <w:num w:numId="3">
    <w:abstractNumId w:val="9"/>
  </w:num>
  <w:num w:numId="4">
    <w:abstractNumId w:val="14"/>
  </w:num>
  <w:num w:numId="5">
    <w:abstractNumId w:val="5"/>
  </w:num>
  <w:num w:numId="6">
    <w:abstractNumId w:val="3"/>
  </w:num>
  <w:num w:numId="7">
    <w:abstractNumId w:val="0"/>
  </w:num>
  <w:num w:numId="8">
    <w:abstractNumId w:val="1"/>
  </w:num>
  <w:num w:numId="9">
    <w:abstractNumId w:val="10"/>
  </w:num>
  <w:num w:numId="10">
    <w:abstractNumId w:val="4"/>
  </w:num>
  <w:num w:numId="11">
    <w:abstractNumId w:val="11"/>
  </w:num>
  <w:num w:numId="12">
    <w:abstractNumId w:val="2"/>
  </w:num>
  <w:num w:numId="13">
    <w:abstractNumId w:val="6"/>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229"/>
  <w:drawingGridVerticalSpacing w:val="18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92C"/>
    <w:rsid w:val="000073B3"/>
    <w:rsid w:val="000877DD"/>
    <w:rsid w:val="000A06E7"/>
    <w:rsid w:val="00102C18"/>
    <w:rsid w:val="00136E81"/>
    <w:rsid w:val="00171333"/>
    <w:rsid w:val="0017706C"/>
    <w:rsid w:val="001A3CD0"/>
    <w:rsid w:val="001B060F"/>
    <w:rsid w:val="001C4B8F"/>
    <w:rsid w:val="00244871"/>
    <w:rsid w:val="00245EEB"/>
    <w:rsid w:val="002506AC"/>
    <w:rsid w:val="00283DB8"/>
    <w:rsid w:val="002C350D"/>
    <w:rsid w:val="003310FE"/>
    <w:rsid w:val="00336467"/>
    <w:rsid w:val="003855B8"/>
    <w:rsid w:val="003A4377"/>
    <w:rsid w:val="003F2824"/>
    <w:rsid w:val="0042540E"/>
    <w:rsid w:val="00442F8A"/>
    <w:rsid w:val="00481D66"/>
    <w:rsid w:val="0048292C"/>
    <w:rsid w:val="004A6830"/>
    <w:rsid w:val="004C56BD"/>
    <w:rsid w:val="004E00A8"/>
    <w:rsid w:val="004F2220"/>
    <w:rsid w:val="0054173E"/>
    <w:rsid w:val="005572AA"/>
    <w:rsid w:val="0057213A"/>
    <w:rsid w:val="005A3570"/>
    <w:rsid w:val="005B00C0"/>
    <w:rsid w:val="00662044"/>
    <w:rsid w:val="006F1C1F"/>
    <w:rsid w:val="00753D33"/>
    <w:rsid w:val="007966FC"/>
    <w:rsid w:val="007B61A4"/>
    <w:rsid w:val="007C6BFC"/>
    <w:rsid w:val="007E771F"/>
    <w:rsid w:val="007F7A81"/>
    <w:rsid w:val="00824257"/>
    <w:rsid w:val="008419CC"/>
    <w:rsid w:val="008A6EB5"/>
    <w:rsid w:val="008B4984"/>
    <w:rsid w:val="008F5341"/>
    <w:rsid w:val="00900DBD"/>
    <w:rsid w:val="00910C90"/>
    <w:rsid w:val="00976851"/>
    <w:rsid w:val="00985BEE"/>
    <w:rsid w:val="009B5B91"/>
    <w:rsid w:val="009E5D81"/>
    <w:rsid w:val="00A479F2"/>
    <w:rsid w:val="00A94486"/>
    <w:rsid w:val="00AF3A9C"/>
    <w:rsid w:val="00AF40DF"/>
    <w:rsid w:val="00B0703C"/>
    <w:rsid w:val="00B20DD9"/>
    <w:rsid w:val="00B362E7"/>
    <w:rsid w:val="00B56C79"/>
    <w:rsid w:val="00C33465"/>
    <w:rsid w:val="00C37D3B"/>
    <w:rsid w:val="00C6681C"/>
    <w:rsid w:val="00CB2F00"/>
    <w:rsid w:val="00CD17AD"/>
    <w:rsid w:val="00D0499A"/>
    <w:rsid w:val="00D519E8"/>
    <w:rsid w:val="00D915BF"/>
    <w:rsid w:val="00D95D51"/>
    <w:rsid w:val="00DE6335"/>
    <w:rsid w:val="00E85343"/>
    <w:rsid w:val="00F040FA"/>
    <w:rsid w:val="00F31A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528B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99A"/>
    <w:pPr>
      <w:widowControl w:val="0"/>
      <w:jc w:val="both"/>
    </w:pPr>
    <w:rPr>
      <w:sz w:val="18"/>
    </w:rPr>
  </w:style>
  <w:style w:type="paragraph" w:styleId="1">
    <w:name w:val="heading 1"/>
    <w:basedOn w:val="a"/>
    <w:next w:val="a"/>
    <w:link w:val="10"/>
    <w:uiPriority w:val="9"/>
    <w:qFormat/>
    <w:rsid w:val="00B0703C"/>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499A"/>
    <w:pPr>
      <w:tabs>
        <w:tab w:val="center" w:pos="4252"/>
        <w:tab w:val="right" w:pos="8504"/>
      </w:tabs>
      <w:snapToGrid w:val="0"/>
    </w:pPr>
  </w:style>
  <w:style w:type="character" w:customStyle="1" w:styleId="a4">
    <w:name w:val="ヘッダー (文字)"/>
    <w:basedOn w:val="a0"/>
    <w:link w:val="a3"/>
    <w:uiPriority w:val="99"/>
    <w:rsid w:val="00D0499A"/>
  </w:style>
  <w:style w:type="paragraph" w:styleId="a5">
    <w:name w:val="footer"/>
    <w:basedOn w:val="a"/>
    <w:link w:val="a6"/>
    <w:uiPriority w:val="99"/>
    <w:unhideWhenUsed/>
    <w:rsid w:val="00D0499A"/>
    <w:pPr>
      <w:tabs>
        <w:tab w:val="center" w:pos="4252"/>
        <w:tab w:val="right" w:pos="8504"/>
      </w:tabs>
      <w:snapToGrid w:val="0"/>
    </w:pPr>
  </w:style>
  <w:style w:type="character" w:customStyle="1" w:styleId="a6">
    <w:name w:val="フッター (文字)"/>
    <w:basedOn w:val="a0"/>
    <w:link w:val="a5"/>
    <w:uiPriority w:val="99"/>
    <w:rsid w:val="00D0499A"/>
  </w:style>
  <w:style w:type="character" w:styleId="a7">
    <w:name w:val="Placeholder Text"/>
    <w:basedOn w:val="a0"/>
    <w:uiPriority w:val="99"/>
    <w:semiHidden/>
    <w:rsid w:val="00102C18"/>
    <w:rPr>
      <w:color w:val="808080"/>
    </w:rPr>
  </w:style>
  <w:style w:type="character" w:customStyle="1" w:styleId="10">
    <w:name w:val="見出し 1 (文字)"/>
    <w:basedOn w:val="a0"/>
    <w:link w:val="1"/>
    <w:uiPriority w:val="9"/>
    <w:rsid w:val="00B0703C"/>
    <w:rPr>
      <w:rFonts w:asciiTheme="majorHAnsi" w:eastAsiaTheme="majorEastAsia" w:hAnsiTheme="majorHAnsi" w:cstheme="majorBidi"/>
      <w:sz w:val="24"/>
      <w:szCs w:val="24"/>
    </w:rPr>
  </w:style>
  <w:style w:type="paragraph" w:styleId="a8">
    <w:name w:val="Balloon Text"/>
    <w:basedOn w:val="a"/>
    <w:link w:val="a9"/>
    <w:uiPriority w:val="99"/>
    <w:semiHidden/>
    <w:unhideWhenUsed/>
    <w:rsid w:val="003A4377"/>
    <w:rPr>
      <w:rFonts w:asciiTheme="majorHAnsi" w:eastAsiaTheme="majorEastAsia" w:hAnsiTheme="majorHAnsi" w:cstheme="majorBidi"/>
      <w:szCs w:val="18"/>
    </w:rPr>
  </w:style>
  <w:style w:type="character" w:customStyle="1" w:styleId="a9">
    <w:name w:val="吹き出し (文字)"/>
    <w:basedOn w:val="a0"/>
    <w:link w:val="a8"/>
    <w:uiPriority w:val="99"/>
    <w:semiHidden/>
    <w:rsid w:val="003A4377"/>
    <w:rPr>
      <w:rFonts w:asciiTheme="majorHAnsi" w:eastAsiaTheme="majorEastAsia" w:hAnsiTheme="majorHAnsi" w:cstheme="majorBidi"/>
      <w:sz w:val="18"/>
      <w:szCs w:val="18"/>
    </w:rPr>
  </w:style>
  <w:style w:type="paragraph" w:styleId="aa">
    <w:name w:val="List Paragraph"/>
    <w:basedOn w:val="a"/>
    <w:uiPriority w:val="34"/>
    <w:qFormat/>
    <w:rsid w:val="007E771F"/>
    <w:pPr>
      <w:ind w:leftChars="400" w:left="840"/>
    </w:pPr>
    <w:rPr>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99A"/>
    <w:pPr>
      <w:widowControl w:val="0"/>
      <w:jc w:val="both"/>
    </w:pPr>
    <w:rPr>
      <w:sz w:val="18"/>
    </w:rPr>
  </w:style>
  <w:style w:type="paragraph" w:styleId="1">
    <w:name w:val="heading 1"/>
    <w:basedOn w:val="a"/>
    <w:next w:val="a"/>
    <w:link w:val="10"/>
    <w:uiPriority w:val="9"/>
    <w:qFormat/>
    <w:rsid w:val="00B0703C"/>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499A"/>
    <w:pPr>
      <w:tabs>
        <w:tab w:val="center" w:pos="4252"/>
        <w:tab w:val="right" w:pos="8504"/>
      </w:tabs>
      <w:snapToGrid w:val="0"/>
    </w:pPr>
  </w:style>
  <w:style w:type="character" w:customStyle="1" w:styleId="a4">
    <w:name w:val="ヘッダー (文字)"/>
    <w:basedOn w:val="a0"/>
    <w:link w:val="a3"/>
    <w:uiPriority w:val="99"/>
    <w:rsid w:val="00D0499A"/>
  </w:style>
  <w:style w:type="paragraph" w:styleId="a5">
    <w:name w:val="footer"/>
    <w:basedOn w:val="a"/>
    <w:link w:val="a6"/>
    <w:uiPriority w:val="99"/>
    <w:unhideWhenUsed/>
    <w:rsid w:val="00D0499A"/>
    <w:pPr>
      <w:tabs>
        <w:tab w:val="center" w:pos="4252"/>
        <w:tab w:val="right" w:pos="8504"/>
      </w:tabs>
      <w:snapToGrid w:val="0"/>
    </w:pPr>
  </w:style>
  <w:style w:type="character" w:customStyle="1" w:styleId="a6">
    <w:name w:val="フッター (文字)"/>
    <w:basedOn w:val="a0"/>
    <w:link w:val="a5"/>
    <w:uiPriority w:val="99"/>
    <w:rsid w:val="00D0499A"/>
  </w:style>
  <w:style w:type="character" w:styleId="a7">
    <w:name w:val="Placeholder Text"/>
    <w:basedOn w:val="a0"/>
    <w:uiPriority w:val="99"/>
    <w:semiHidden/>
    <w:rsid w:val="00102C18"/>
    <w:rPr>
      <w:color w:val="808080"/>
    </w:rPr>
  </w:style>
  <w:style w:type="character" w:customStyle="1" w:styleId="10">
    <w:name w:val="見出し 1 (文字)"/>
    <w:basedOn w:val="a0"/>
    <w:link w:val="1"/>
    <w:uiPriority w:val="9"/>
    <w:rsid w:val="00B0703C"/>
    <w:rPr>
      <w:rFonts w:asciiTheme="majorHAnsi" w:eastAsiaTheme="majorEastAsia" w:hAnsiTheme="majorHAnsi" w:cstheme="majorBidi"/>
      <w:sz w:val="24"/>
      <w:szCs w:val="24"/>
    </w:rPr>
  </w:style>
  <w:style w:type="paragraph" w:styleId="a8">
    <w:name w:val="Balloon Text"/>
    <w:basedOn w:val="a"/>
    <w:link w:val="a9"/>
    <w:uiPriority w:val="99"/>
    <w:semiHidden/>
    <w:unhideWhenUsed/>
    <w:rsid w:val="003A4377"/>
    <w:rPr>
      <w:rFonts w:asciiTheme="majorHAnsi" w:eastAsiaTheme="majorEastAsia" w:hAnsiTheme="majorHAnsi" w:cstheme="majorBidi"/>
      <w:szCs w:val="18"/>
    </w:rPr>
  </w:style>
  <w:style w:type="character" w:customStyle="1" w:styleId="a9">
    <w:name w:val="吹き出し (文字)"/>
    <w:basedOn w:val="a0"/>
    <w:link w:val="a8"/>
    <w:uiPriority w:val="99"/>
    <w:semiHidden/>
    <w:rsid w:val="003A4377"/>
    <w:rPr>
      <w:rFonts w:asciiTheme="majorHAnsi" w:eastAsiaTheme="majorEastAsia" w:hAnsiTheme="majorHAnsi" w:cstheme="majorBidi"/>
      <w:sz w:val="18"/>
      <w:szCs w:val="18"/>
    </w:rPr>
  </w:style>
  <w:style w:type="paragraph" w:styleId="aa">
    <w:name w:val="List Paragraph"/>
    <w:basedOn w:val="a"/>
    <w:uiPriority w:val="34"/>
    <w:qFormat/>
    <w:rsid w:val="007E771F"/>
    <w:pPr>
      <w:ind w:leftChars="400" w:left="840"/>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0.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30.emf"/><Relationship Id="rId10" Type="http://schemas.openxmlformats.org/officeDocument/2006/relationships/image" Target="media/image10.wmf"/><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20.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8CB4939D21C42E489A7570F9984761F"/>
        <w:category>
          <w:name w:val="全般"/>
          <w:gallery w:val="placeholder"/>
        </w:category>
        <w:types>
          <w:type w:val="bbPlcHdr"/>
        </w:types>
        <w:behaviors>
          <w:behavior w:val="content"/>
        </w:behaviors>
        <w:guid w:val="{33881DC9-63D0-42FE-BAC3-74D4B0690DCE}"/>
      </w:docPartPr>
      <w:docPartBody>
        <w:p w:rsidR="00A15A87" w:rsidRDefault="006003CE" w:rsidP="006003CE">
          <w:pPr>
            <w:pStyle w:val="58CB4939D21C42E489A7570F9984761F"/>
          </w:pPr>
          <w:r w:rsidRPr="00285012">
            <w:rPr>
              <w:rStyle w:val="a3"/>
              <w:rFonts w:hint="eastAsia"/>
            </w:rPr>
            <w:t>[</w:t>
          </w:r>
          <w:r w:rsidRPr="00285012">
            <w:rPr>
              <w:rStyle w:val="a3"/>
              <w:rFonts w:hint="eastAsia"/>
            </w:rPr>
            <w:t>タイトル</w:t>
          </w:r>
          <w:r w:rsidRPr="00285012">
            <w:rPr>
              <w:rStyle w:val="a3"/>
              <w:rFonts w:hint="eastAsia"/>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60D"/>
    <w:rsid w:val="0004690F"/>
    <w:rsid w:val="00126902"/>
    <w:rsid w:val="005A485F"/>
    <w:rsid w:val="006003CE"/>
    <w:rsid w:val="00610D48"/>
    <w:rsid w:val="007418A3"/>
    <w:rsid w:val="008307AE"/>
    <w:rsid w:val="008D0928"/>
    <w:rsid w:val="009B3D0E"/>
    <w:rsid w:val="00A15A87"/>
    <w:rsid w:val="00C46A9F"/>
    <w:rsid w:val="00CD260D"/>
    <w:rsid w:val="00FA44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003CE"/>
    <w:rPr>
      <w:color w:val="808080"/>
    </w:rPr>
  </w:style>
  <w:style w:type="paragraph" w:customStyle="1" w:styleId="8240BA2387DB45BAB7024E8ACFF51503">
    <w:name w:val="8240BA2387DB45BAB7024E8ACFF51503"/>
    <w:rsid w:val="00CD260D"/>
    <w:pPr>
      <w:widowControl w:val="0"/>
      <w:jc w:val="both"/>
    </w:pPr>
  </w:style>
  <w:style w:type="paragraph" w:customStyle="1" w:styleId="B5B7D06DBB6C45648502902B8C515649">
    <w:name w:val="B5B7D06DBB6C45648502902B8C515649"/>
    <w:rsid w:val="00CD260D"/>
    <w:pPr>
      <w:widowControl w:val="0"/>
      <w:jc w:val="both"/>
    </w:pPr>
  </w:style>
  <w:style w:type="paragraph" w:customStyle="1" w:styleId="58CB4939D21C42E489A7570F9984761F">
    <w:name w:val="58CB4939D21C42E489A7570F9984761F"/>
    <w:rsid w:val="006003CE"/>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003CE"/>
    <w:rPr>
      <w:color w:val="808080"/>
    </w:rPr>
  </w:style>
  <w:style w:type="paragraph" w:customStyle="1" w:styleId="8240BA2387DB45BAB7024E8ACFF51503">
    <w:name w:val="8240BA2387DB45BAB7024E8ACFF51503"/>
    <w:rsid w:val="00CD260D"/>
    <w:pPr>
      <w:widowControl w:val="0"/>
      <w:jc w:val="both"/>
    </w:pPr>
  </w:style>
  <w:style w:type="paragraph" w:customStyle="1" w:styleId="B5B7D06DBB6C45648502902B8C515649">
    <w:name w:val="B5B7D06DBB6C45648502902B8C515649"/>
    <w:rsid w:val="00CD260D"/>
    <w:pPr>
      <w:widowControl w:val="0"/>
      <w:jc w:val="both"/>
    </w:pPr>
  </w:style>
  <w:style w:type="paragraph" w:customStyle="1" w:styleId="58CB4939D21C42E489A7570F9984761F">
    <w:name w:val="58CB4939D21C42E489A7570F9984761F"/>
    <w:rsid w:val="006003CE"/>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117FC-A758-48D2-BBB4-DC0E33319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Pages>
  <Words>339</Words>
  <Characters>1934</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高等教育グランドデザインと本学の教育改革の今後</vt:lpstr>
    </vt:vector>
  </TitlesOfParts>
  <Company>東京都市大学</Company>
  <LinksUpToDate>false</LinksUpToDate>
  <CharactersWithSpaces>2269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高等教育グランドデザインと本学の教育改革の今後</dc:title>
  <dc:creator>netbootadmin</dc:creator>
  <cp:lastModifiedBy>Masaru MINAGAWA</cp:lastModifiedBy>
  <cp:revision>30</cp:revision>
  <cp:lastPrinted>2019-02-14T04:13:00Z</cp:lastPrinted>
  <dcterms:created xsi:type="dcterms:W3CDTF">2020-01-22T22:40:00Z</dcterms:created>
  <dcterms:modified xsi:type="dcterms:W3CDTF">2020-01-23T21:18:00Z</dcterms:modified>
</cp:coreProperties>
</file>